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BC1E2BA" Type="http://schemas.openxmlformats.org/officeDocument/2006/relationships/officeDocument" Target="/word/document.xml" /><Relationship Id="coreR3BC1E2B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6498</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603/03 iniciado  por la  Sra. Ivana Vanesa Allende solicitando autorización para instalación de un comercio en el rubro de pub y confitería bailable en Av. del Libertador Nº 846; y </w:t>
      </w:r>
    </w:p>
    <w:p>
      <w:pPr>
        <w:pStyle w:val="P1"/>
        <w:rPr>
          <w:rStyle w:val="C3"/>
          <w:rFonts w:ascii="Courier New" w:hAnsi="Courier New"/>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área de Obras Privadas informa que el rubro que se pretende explotar no está entre los usos de la zona;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evaluado el contenido del expediente por el Concejo constituido en Comisión y teniendo en cuenta los informes obrantes sobre condiciones del lugar, consentimiento de los vecinos, etc., se resuelve por unanimidad en Sesión de fecha 11 de setiembre de 2003, autorizar en forma precaria el uso del suelo. </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b w:val="1"/>
          <w:sz w:val="24"/>
        </w:rPr>
        <w:t xml:space="preserve"> AUTORIZAR </w:t>
      </w:r>
      <w:r>
        <w:rPr>
          <w:rStyle w:val="C3"/>
          <w:sz w:val="24"/>
        </w:rPr>
        <w:t>por vía de excepción el uso del suelo en forma precaria y provisoria por sesenta (60) días a partir de la sanción de la presente Ordenanza, para la instalación de pub y confitería bailable en Av. del Libertador Nº 846, debiendo el Departamento Ejecutivo extremar los controles en cuanto a medidas de seguridad para otorgar la habilitación.</w:t>
      </w:r>
    </w:p>
    <w:p>
      <w:pPr>
        <w:pStyle w:val="P8"/>
        <w:ind w:hanging="709" w:left="709"/>
        <w:jc w:val="right"/>
        <w:rPr>
          <w:rStyle w:val="C3"/>
          <w:sz w:val="24"/>
        </w:rPr>
      </w:pPr>
      <w:r>
        <w:rPr>
          <w:rStyle w:val="C3"/>
          <w:sz w:val="24"/>
        </w:rPr>
        <w:t>...///</w:t>
      </w:r>
    </w:p>
    <w:p>
      <w:pPr>
        <w:pStyle w:val="P8"/>
        <w:ind w:hanging="709" w:left="709"/>
        <w:jc w:val="right"/>
        <w:rPr>
          <w:rStyle w:val="C3"/>
          <w:sz w:val="24"/>
        </w:rPr>
      </w:pPr>
    </w:p>
    <w:p>
      <w:pPr>
        <w:pStyle w:val="P8"/>
        <w:ind w:hanging="709" w:left="709"/>
        <w:jc w:val="right"/>
        <w:rPr>
          <w:rStyle w:val="C3"/>
          <w:sz w:val="24"/>
        </w:rPr>
      </w:pPr>
    </w:p>
    <w:p>
      <w:pPr>
        <w:pStyle w:val="P8"/>
        <w:ind w:hanging="709" w:left="709"/>
        <w:jc w:val="right"/>
        <w:rPr>
          <w:rStyle w:val="C3"/>
          <w:sz w:val="24"/>
        </w:rPr>
      </w:pPr>
    </w:p>
    <w:p>
      <w:pPr>
        <w:pStyle w:val="P8"/>
        <w:ind w:hanging="709" w:left="709"/>
        <w:jc w:val="right"/>
        <w:rPr>
          <w:rStyle w:val="C3"/>
          <w:sz w:val="24"/>
        </w:rPr>
      </w:pPr>
    </w:p>
    <w:p>
      <w:pPr>
        <w:pStyle w:val="P8"/>
        <w:ind w:hanging="709" w:left="709"/>
        <w:jc w:val="right"/>
        <w:rPr>
          <w:rStyle w:val="C3"/>
          <w:sz w:val="24"/>
        </w:rPr>
      </w:pPr>
    </w:p>
    <w:p>
      <w:pPr>
        <w:pStyle w:val="P8"/>
        <w:ind w:hanging="709" w:left="709"/>
        <w:jc w:val="right"/>
        <w:rPr>
          <w:rStyle w:val="C3"/>
          <w:sz w:val="24"/>
        </w:rPr>
      </w:pPr>
    </w:p>
    <w:p>
      <w:pPr>
        <w:pStyle w:val="P8"/>
        <w:ind w:hanging="709" w:left="709"/>
        <w:jc w:val="right"/>
        <w:rPr>
          <w:rStyle w:val="C3"/>
          <w:sz w:val="24"/>
        </w:rPr>
      </w:pPr>
    </w:p>
    <w:p>
      <w:pPr>
        <w:pStyle w:val="P8"/>
        <w:ind w:hanging="709" w:left="709"/>
        <w:jc w:val="right"/>
        <w:rPr>
          <w:rStyle w:val="C3"/>
          <w:sz w:val="24"/>
        </w:rPr>
      </w:pPr>
    </w:p>
    <w:p>
      <w:pPr>
        <w:pStyle w:val="P8"/>
        <w:ind w:hanging="709" w:left="709"/>
        <w:rPr>
          <w:rStyle w:val="C3"/>
          <w:sz w:val="24"/>
        </w:rPr>
      </w:pPr>
    </w:p>
    <w:p>
      <w:pPr>
        <w:pStyle w:val="P8"/>
        <w:ind w:hanging="709" w:left="709"/>
        <w:rPr>
          <w:rStyle w:val="C3"/>
          <w:sz w:val="24"/>
        </w:rPr>
      </w:pPr>
      <w:r>
        <w:rPr>
          <w:rStyle w:val="C3"/>
          <w:sz w:val="24"/>
        </w:rPr>
        <w:t>...///2.-</w:t>
      </w:r>
    </w:p>
    <w:p>
      <w:pPr>
        <w:pStyle w:val="P8"/>
        <w:ind w:hanging="709" w:left="709"/>
        <w:rPr>
          <w:rStyle w:val="C3"/>
          <w:sz w:val="24"/>
        </w:rPr>
      </w:pPr>
    </w:p>
    <w:p>
      <w:pPr>
        <w:pStyle w:val="P8"/>
        <w:ind w:hanging="709" w:left="709"/>
        <w:rPr>
          <w:rStyle w:val="C3"/>
          <w:sz w:val="24"/>
        </w:rPr>
      </w:pPr>
    </w:p>
    <w:p>
      <w:pPr>
        <w:pStyle w:val="P8"/>
        <w:ind w:hanging="709" w:left="709"/>
        <w:rPr>
          <w:rStyle w:val="C3"/>
          <w:sz w:val="24"/>
        </w:rPr>
      </w:pPr>
    </w:p>
    <w:p>
      <w:pPr>
        <w:pStyle w:val="P8"/>
        <w:ind w:hanging="709" w:left="709"/>
        <w:rPr>
          <w:rStyle w:val="C3"/>
          <w:sz w:val="24"/>
        </w:rPr>
      </w:pPr>
    </w:p>
    <w:p>
      <w:pPr>
        <w:pStyle w:val="P8"/>
        <w:ind w:hanging="709" w:left="709"/>
        <w:rPr>
          <w:rStyle w:val="C3"/>
          <w:sz w:val="24"/>
        </w:rPr>
      </w:pPr>
      <w:r>
        <w:rPr>
          <w:rStyle w:val="C3"/>
          <w:b w:val="1"/>
          <w:sz w:val="24"/>
          <w:u w:val="single"/>
        </w:rPr>
        <w:t>Art.2</w:t>
      </w:r>
      <w:r>
        <w:rPr>
          <w:rStyle w:val="C3"/>
          <w:b w:val="1"/>
          <w:sz w:val="24"/>
          <w:u w:val="single"/>
        </w:rPr>
        <w:t>:</w:t>
      </w:r>
      <w:r>
        <w:rPr>
          <w:rStyle w:val="C3"/>
          <w:sz w:val="24"/>
        </w:rPr>
        <w:t xml:space="preserve"> </w:t>
      </w:r>
      <w:r>
        <w:rPr>
          <w:rStyle w:val="C3"/>
          <w:b w:val="1"/>
          <w:sz w:val="24"/>
        </w:rPr>
        <w:t>L</w:t>
      </w:r>
      <w:r>
        <w:rPr>
          <w:rStyle w:val="C3"/>
          <w:sz w:val="24"/>
        </w:rPr>
        <w:t>a presente autorización sólo se prorrogará si no se producen quejas por parte de los vecinos de la zona.</w:t>
      </w:r>
    </w:p>
    <w:p>
      <w:pPr>
        <w:pStyle w:val="P8"/>
        <w:ind w:hanging="709" w:left="709"/>
        <w:jc w:val="right"/>
        <w:rPr>
          <w:rStyle w:val="C3"/>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ONCE DIAS DEL MES DE SETIEMBRE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2003-08-21T09:28:00Z</dcterms:created>
  <cp:lastModifiedBy>Ethan Puglia</cp:lastModifiedBy>
  <cp:lastPrinted>2003-08-03T19:38:00Z</cp:lastPrinted>
  <dcterms:modified xsi:type="dcterms:W3CDTF">2019-03-28T17:33:57Z</dcterms:modified>
  <cp:revision>7</cp:revision>
  <dc:title>ORDENANZA  Nº  5354</dc:title>
</cp:coreProperties>
</file>