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D0DFF9" Type="http://schemas.openxmlformats.org/officeDocument/2006/relationships/officeDocument" Target="/word/document.xml" /><Relationship Id="coreR24D0DFF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6507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388/02 iniciado  por la Sra.  Mercedes Olga Sánchez al cual se anexa nota a fs. 18 solicitando se reconsidere lo resuelto mediante Ordenanza Nº 6034;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se desprende que el único sostén de este hogar es una jubilación mínima que percibe el esposo de la solicitante, insuficiente para cubrir las necesidades básicas del grupo familiar, agravada la situación por la enfermedad del esposo;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función de lo expuesto Comisión de Hacienda,  emite despacho accediendo a lo solicitado, despacho aprobado por unanimidad en Sesión de fecha 18 de setiembre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u w:val="single"/>
        </w:rPr>
        <w:t>:</w:t>
      </w:r>
      <w:r>
        <w:rPr>
          <w:rStyle w:val="C3"/>
          <w:sz w:val="24"/>
        </w:rPr>
        <w:t xml:space="preserve">  </w:t>
      </w:r>
      <w:r>
        <w:rPr>
          <w:rStyle w:val="C3"/>
          <w:b w:val="1"/>
          <w:sz w:val="24"/>
        </w:rPr>
        <w:t>DEROGAR</w:t>
      </w:r>
      <w:r>
        <w:rPr>
          <w:rStyle w:val="C3"/>
          <w:b w:val="1"/>
          <w:sz w:val="24"/>
        </w:rPr>
        <w:t xml:space="preserve"> </w:t>
      </w:r>
      <w:r>
        <w:rPr>
          <w:rStyle w:val="C3"/>
          <w:sz w:val="24"/>
        </w:rPr>
        <w:t>la Ordenanza Nº 6034.</w:t>
      </w:r>
    </w:p>
    <w:p>
      <w:pPr>
        <w:pStyle w:val="P8"/>
        <w:ind w:hanging="709" w:left="709"/>
        <w:jc w:val="both"/>
        <w:rPr>
          <w:rStyle w:val="C3"/>
          <w:b w:val="1"/>
          <w:sz w:val="24"/>
          <w:u w:val="single"/>
        </w:rPr>
      </w:pPr>
    </w:p>
    <w:p>
      <w:pPr>
        <w:pStyle w:val="P8"/>
        <w:ind w:hanging="709" w:left="709"/>
        <w:jc w:val="both"/>
        <w:rPr>
          <w:rStyle w:val="C3"/>
          <w:b w:val="1"/>
          <w:sz w:val="24"/>
          <w:u w:val="single"/>
        </w:rPr>
      </w:pPr>
      <w:r>
        <w:rPr>
          <w:rStyle w:val="C3"/>
          <w:b w:val="1"/>
          <w:sz w:val="24"/>
          <w:u w:val="single"/>
        </w:rPr>
        <w:t>Art.</w:t>
      </w:r>
      <w:r>
        <w:rPr>
          <w:rStyle w:val="C3"/>
          <w:b w:val="1"/>
          <w:sz w:val="24"/>
          <w:u w:val="single"/>
        </w:rPr>
        <w:t>2</w:t>
      </w:r>
      <w:r>
        <w:rPr>
          <w:rStyle w:val="C3"/>
          <w:b w:val="1"/>
          <w:sz w:val="24"/>
          <w:u w:val="single"/>
        </w:rPr>
        <w:t>:</w:t>
      </w:r>
      <w:r>
        <w:rPr>
          <w:rStyle w:val="C3"/>
          <w:b w:val="1"/>
          <w:sz w:val="24"/>
        </w:rPr>
        <w:t xml:space="preserve"> EXIMIR </w:t>
      </w:r>
      <w:r>
        <w:rPr>
          <w:rStyle w:val="C3"/>
          <w:b w:val="1"/>
          <w:sz w:val="24"/>
        </w:rPr>
        <w:t xml:space="preserve"> </w:t>
      </w:r>
      <w:r>
        <w:rPr>
          <w:rStyle w:val="C3"/>
          <w:sz w:val="24"/>
        </w:rPr>
        <w:t>en un cien por ciento (100%) la deuda y las cuotas correspondientes al año 2003 de Tasa por Servicios a la Propiedad correspondientes al inmueble designación catastral Nº 04-01-029-003-000.</w:t>
      </w:r>
    </w:p>
    <w:p>
      <w:pPr>
        <w:pStyle w:val="P8"/>
        <w:ind w:hanging="709" w:left="709"/>
        <w:jc w:val="both"/>
        <w:rPr>
          <w:rStyle w:val="C3"/>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DIECIOCHO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2003-08-22T03:12:00Z</dcterms:created>
  <cp:lastModifiedBy>Ethan Puglia</cp:lastModifiedBy>
  <cp:lastPrinted>2003-08-22T03:29:00Z</cp:lastPrinted>
  <dcterms:modified xsi:type="dcterms:W3CDTF">2019-03-28T17:33:57Z</dcterms:modified>
  <cp:revision>10</cp:revision>
  <dc:title>ORDENANZA  Nº  5354</dc:title>
</cp:coreProperties>
</file>