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B2B5F5" Type="http://schemas.openxmlformats.org/officeDocument/2006/relationships/officeDocument" Target="/word/document.xml" /><Relationship Id="coreR55B2B5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Alicia M. Luján  solicitando reducción de cuota establecida en Ordenanza Nº 5210 para abonar deudas por obras de gas natural;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acuerdo suscripto con el Municipio para abonar dichas deudas se estableció una cuota que en este momento, debido a sus escasos ingresos, le es imposible afrontar;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25 de setiembre de 2003, se resuelve por unanimidad 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MODIFICAR </w:t>
      </w:r>
      <w:r>
        <w:rPr>
          <w:rStyle w:val="C3"/>
          <w:sz w:val="24"/>
        </w:rPr>
        <w:t xml:space="preserve">la Ordenanza Nº 5210, en su Anexo I, página  6,  donde  dice: “3-1-177-028 –  Malvicino  - Cidem -  $ 30.00.-”, deberá decir: “3-1-177-028 – Malvicino – Cidem- $ 10.00.-”.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2003-10-17T21:09:00Z</dcterms:created>
  <cp:lastModifiedBy>Ethan Puglia</cp:lastModifiedBy>
  <cp:lastPrinted>2003-07-11T16:25:00Z</cp:lastPrinted>
  <dcterms:modified xsi:type="dcterms:W3CDTF">2019-03-28T17:33:57Z</dcterms:modified>
  <cp:revision>11</cp:revision>
  <dc:title>ORDENANZA  Nº  5354</dc:title>
</cp:coreProperties>
</file>