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B75B35" Type="http://schemas.openxmlformats.org/officeDocument/2006/relationships/officeDocument" Target="/word/document.xml" /><Relationship Id="coreR24B75B3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6603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258/I/02 iniciado con nota del Sr. Carlos Eleodoro Salgado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la  situación económica que atraviesa esta familia está limitada por los magros ingresos que percibe el solicitante de changas que realiza;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una exención y los beneficios de la Ordenanza Nº 5485, despacho aprobado por unanimidad en Sesión de fecha 16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 </w:t>
      </w:r>
      <w:r>
        <w:rPr>
          <w:rStyle w:val="C3"/>
          <w:sz w:val="24"/>
        </w:rPr>
        <w:t xml:space="preserve">al Contribuyente Nº 14322 la deuda no prescripta que al 31 de diciembre de 2002 mantiene con el Municipio en concepto de Tasa por Servicios a la Propiedad por el inmueble  designación catastral Nº   03-01-310-012-000, incluido plan de pagos Nº 194512.  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 mensual  a abonar  en  concepto  de Tasa por Servicios a la  Propiedad  desde la promulgación   de   la   presente   Ordenanza  y  hasta  el  31  de  diciembre  de  2004  inclusive,  la  suma  de PESOS TRES ($3.-), al inmueble designación catastral Nº 03-01-310-012-000,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conforme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lo establecido en el Art.2, eximir de dos (2) cuotas de los períodos no contemplados en el Art.1.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EN </w:t>
      </w:r>
      <w:r>
        <w:rPr>
          <w:rStyle w:val="C3"/>
          <w:rFonts w:ascii="Courier New" w:hAnsi="Courier New"/>
          <w:sz w:val="24"/>
        </w:rPr>
        <w:t>caso de transferencia del inmueble mencionado los beneficios otorgados en la presente Ordenanza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2003-10-27T11:03:00Z</dcterms:created>
  <cp:lastModifiedBy>Ethan Puglia</cp:lastModifiedBy>
  <cp:lastPrinted>2003-10-27T11:37:00Z</cp:lastPrinted>
  <dcterms:modified xsi:type="dcterms:W3CDTF">2019-03-28T17:33:58Z</dcterms:modified>
  <cp:revision>22</cp:revision>
  <dc:title>ORDENANZA  Nº  5354</dc:title>
</cp:coreProperties>
</file>