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A994BD" Type="http://schemas.openxmlformats.org/officeDocument/2006/relationships/officeDocument" Target="/word/document.xml" /><Relationship Id="coreR6A994B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6604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229/02 iniciado por la Sra. Felipa Almirón solicitando exención de deuda que mantiene con el Municipio por tasas y por Contribución por Mejoras;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indica que la  solicitante es una persona de avanzada edad, viuda, que percibe ingresos inestables e insuficientes para cubrir sus necesidades básicas;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adjunta Declaración Jurada realizada ante autoridad policial refrendada por testigos que avalan que la solicitante no posee sueldo, ni jubilación;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facilitar el pago de lo adeudado, despacho aprobado por unanimidad en Sesión de fecha 16 de octubre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al Contribuyente Nº 18043 una eximición del setenta por ciento (70%) de la tasa actual y de la deuda que en concepto de Tasa por Servicios a la Propiedad mantiene con el Municipio por el inmueble designación catastral Nº 01-01-191-015-000 hasta el 31 de diciembre de 2004, autorizando al Departamento Ejecutivo a otorgar por el treinta por ciento (30%) restante un plan de pagos a valores históricos en cuotas mensuales que no superen los PESOS SEIS ($6.-).    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EXIMIR</w:t>
      </w:r>
      <w:r>
        <w:rPr>
          <w:rStyle w:val="C3"/>
          <w:sz w:val="24"/>
        </w:rPr>
        <w:t xml:space="preserve">  al Contribuyente Nº 18043 en un cincuenta por ciento (50%) la tasa bimestral actual y la deuda que en concepto de Tasa por Servicios de Administración y Mantenimiento de los Cementerios mantiene con el Municipio por la Identificación Nº 8048, autorizando al Departamento Ejecutivo a otorgar por el cincuenta por ciento (50%) restante de la deuda, un plan de pagos a valores históricos sin intereses, intercalando las cuotas del plan con las cuotas bimestrales actuales.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CONCEDER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una prórroga al mismo contribuyente para el pago de Mejoras por Pavimento de doce (12) meses a partir de la promulgación de la presente Ordenanza.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EN </w:t>
      </w:r>
      <w:r>
        <w:rPr>
          <w:rStyle w:val="C3"/>
          <w:rFonts w:ascii="Courier New" w:hAnsi="Courier New"/>
          <w:sz w:val="24"/>
        </w:rPr>
        <w:t>caso de transferencia del inmueble mencionado los beneficios otorgados en la presente Ordenanza caducarán en forma automática y definitiva.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Art.5: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DIECISEIS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2003-10-27T23:08:00Z</dcterms:created>
  <cp:lastModifiedBy>Ethan Puglia</cp:lastModifiedBy>
  <cp:lastPrinted>2003-10-27T23:49:00Z</cp:lastPrinted>
  <dcterms:modified xsi:type="dcterms:W3CDTF">2019-03-28T17:33:58Z</dcterms:modified>
  <cp:revision>14</cp:revision>
  <dc:title>ORDENANZA  Nº  5354</dc:title>
</cp:coreProperties>
</file>