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074E1FE" Type="http://schemas.openxmlformats.org/officeDocument/2006/relationships/officeDocument" Target="/word/document.xml" /><Relationship Id="coreR1074E1F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6636</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El proceso de litigiosidad en que se encuentra predios de utilidad e interés público municipal denominados “Parque García Lorca y Parque Solar del Palmar”, respecto de los cuales el Pueblo de Alta Gracia y sus Gobernantes han puesto en su rescate sumo interés, en trámite en los autos caratulados “Compañía de Tierras y Hoteles de Alta Gracia S.A. s/ Quiebra – Incidente de Realización de Inmuebles”, y la necesidad de contar con recursos económicos suficientes a fin de cumplimentar lo establecido en la Ley de Expropiaciones de la Provincia de Córdoba; y   </w:t>
      </w:r>
    </w:p>
    <w:p>
      <w:pPr>
        <w:pStyle w:val="P1"/>
        <w:rPr>
          <w:rStyle w:val="C3"/>
          <w:rFonts w:ascii="Courier New" w:hAnsi="Courier New"/>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 debe recuperar e incorporar definitivamente al Patrimonio de la Ciudad dos (2) importantes predios como son el Parque García Lorca y el denominado Solar del Palmar, llevando adelante la política de saneamiento de títulos encarada por esta gestión municipal desde su inicio;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sobre uno de ellos, el Predio denominado Parque García Lorca, se adecuó su topografía a la instalación de diversos elementos con el objetivo de la utilización por parte de la Comunidad con fines deportivos, de esparcimiento y recreación, para los cuales, la naturaleza circundante ofrecían y ofrecen un excelente marco. La Comunidad de Alta Gracia y sus visitantes no tardaron en establecer sobre el Predio un importante sentido de pertenencia; se instaló en el consciente colectivo, que el Parque García Lorca era de propiedad del Pueblo de Alta Gracia y sobre él manifestaban su abrazo;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al otro predio denominado Solar del Palmar, se hace necesario recuperarlo por su estratégica ubicación y la diversidad de posibilidades que brinda para su utilización para distintos emprendimientos;</w:t>
      </w:r>
    </w:p>
    <w:p>
      <w:pPr>
        <w:pStyle w:val="P6"/>
        <w:jc w:val="right"/>
        <w:rPr>
          <w:rStyle w:val="C3"/>
          <w:rFonts w:ascii="Courier New" w:hAnsi="Courier New"/>
        </w:rPr>
      </w:pPr>
      <w:r>
        <w:rPr>
          <w:rStyle w:val="C3"/>
          <w:rFonts w:ascii="Courier New" w:hAnsi="Courier New"/>
        </w:rPr>
        <w:t>...///</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ind w:hanging="709"/>
        <w:rPr>
          <w:rStyle w:val="C3"/>
          <w:rFonts w:ascii="Courier New" w:hAnsi="Courier New"/>
        </w:rPr>
      </w:pPr>
      <w:r>
        <w:rPr>
          <w:rStyle w:val="C3"/>
          <w:rFonts w:ascii="Courier New" w:hAnsi="Courier New"/>
        </w:rPr>
        <w:t>...///2.-</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como autoridades de esta Ciudad nos ha correspondido el momento histórico de concluir el proceso de rescate a favor de nuestro Pueblo de tan queridos predios y para ello debemos actuar de consuno, codo a codo, con todo empuje y decisión y por sobre todas las banderías políticas que por circunstanciales, no pueden constituir escollo alguno en la ansiada solución a este problema a favor de nuestra Comunidad;</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por otro lado, una vez más, nos corresponde cumplir con los Principios de Gobierno y Políticas Permanentes, que muchos de nosotros hemos establecido al redactar los Arts. 16, 17 y concordantes de la Carta Orgánica Municipal;</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es por ello que, ante el Juzgado actuante se ha efectuado la presentación a los fines de dar cumplimiento a los Arts. 11 y 14 de la Ley Provincial Nº 6394, que reproduce el Art. 13 de la Ley Nacional Nº 21449, en cuanto a la posibilidad de concertación directa con la masa de la quiebra, propietaria de los bienes inmuebles;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se trata de concretar los mecanismos por los cuales en legal forma los inmuebles referidos ingresarán al Patrimonio de la Ciudad;</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proposición efectuada en concepto de monto indemnizatorio por ambos inmuebles más el diez por ciento (10%) establecido por Ley, asciende a la suma de PESOS TRESCIENTOS SEIS MIL QUINIENTOS TREINTA Y UNO CON CINCUENTA Y DOS CENTAVOS ($ 306.531,52.-);</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este monto total en concepto de indemnización a la masa de la quiebra, surge de la sumatoria de los importes actualizados establecidos por Resoluciones Nº 7589 y 7587 del Consejo General de Tasaciones de la Provincia de Córdoba;</w:t>
      </w:r>
    </w:p>
    <w:p>
      <w:pPr>
        <w:pStyle w:val="P6"/>
        <w:rPr>
          <w:rStyle w:val="C3"/>
          <w:rFonts w:ascii="Courier New" w:hAnsi="Courier New"/>
        </w:rPr>
      </w:pPr>
    </w:p>
    <w:p>
      <w:pPr>
        <w:pStyle w:val="P6"/>
        <w:jc w:val="right"/>
        <w:rPr>
          <w:rStyle w:val="C3"/>
          <w:rFonts w:ascii="Courier New" w:hAnsi="Courier New"/>
        </w:rPr>
      </w:pPr>
      <w:r>
        <w:rPr>
          <w:rStyle w:val="C3"/>
          <w:rFonts w:ascii="Courier New" w:hAnsi="Courier New"/>
        </w:rPr>
        <w:t>...///</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ind w:hanging="709"/>
        <w:rPr>
          <w:rStyle w:val="C3"/>
          <w:rFonts w:ascii="Courier New" w:hAnsi="Courier New"/>
        </w:rPr>
      </w:pPr>
      <w:r>
        <w:rPr>
          <w:rStyle w:val="C3"/>
          <w:rFonts w:ascii="Courier New" w:hAnsi="Courier New"/>
        </w:rPr>
        <w:t>...///3.-</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accesoriamente se deben estimar los gastos causídicos y honorarios profesionales, en la suma de PESOS SETENTA MIL ($ 70.000.-), de los que se rendirá oportuna cuenta y para el caso de resultar excedente permanecerán en las arcas Municipales;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se han efectuado consultas a distintas Instituciones Bancarias sólo obteniendo respuesta favorable del Banco Credicoop Cooperativo Limitado, Sucursal Córdoba, habiendo manifestado conformidad respecto de la viabilidad técnica de la concreción de una operación crediticia consistente en el otorgamiento de la suma de PESOS TRESCIENTOS CINCUENTA MIL ($ 350.000.-), para lo cual al momento de suscribirse el respectivo convenio de crédito, el Departamento Ejecutivo debe encontrarse debidamente autorizado a tal efecto por este Honorable Concejo Deliberante.    </w:t>
      </w:r>
    </w:p>
    <w:p>
      <w:pPr>
        <w:pStyle w:val="P6"/>
        <w:rPr>
          <w:rStyle w:val="C3"/>
          <w:rFonts w:ascii="Courier New" w:hAnsi="Courier New"/>
        </w:rPr>
      </w:pPr>
      <w:r>
        <w:rPr>
          <w:rStyle w:val="C3"/>
          <w:rFonts w:ascii="Courier New" w:hAnsi="Courier New"/>
        </w:rPr>
        <w:t xml:space="preserve"> </w:t>
      </w: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pStyle w:val="P8"/>
        <w:ind w:hanging="709" w:left="709"/>
        <w:jc w:val="both"/>
        <w:rPr>
          <w:rStyle w:val="C3"/>
          <w:sz w:val="24"/>
        </w:rPr>
      </w:pPr>
      <w:r>
        <w:rPr>
          <w:rStyle w:val="C3"/>
          <w:b w:val="1"/>
          <w:sz w:val="24"/>
          <w:u w:val="single"/>
        </w:rPr>
        <w:t>Art.1:</w:t>
      </w:r>
      <w:r>
        <w:rPr>
          <w:rStyle w:val="C3"/>
          <w:sz w:val="24"/>
        </w:rPr>
        <w:t xml:space="preserve"> </w:t>
      </w:r>
      <w:r>
        <w:rPr>
          <w:rStyle w:val="C3"/>
          <w:b w:val="1"/>
          <w:sz w:val="24"/>
        </w:rPr>
        <w:t xml:space="preserve">AUTORIZASE </w:t>
      </w:r>
      <w:r>
        <w:rPr>
          <w:rStyle w:val="C3"/>
          <w:sz w:val="24"/>
        </w:rPr>
        <w:t>al Departamento Ejecutivo Municipal a suscribir toda la documentación que fuere menester a fin de concretar una operación crediticia con el Banco Crediccop Cooperativo Limitado, Sucursal Córdoba, por la suma de PESOS TRESCIENTOS CINCUENTA MIL ($ 350.000.-) para luego proceder al pago de los conceptos indemnizatorios y gastos generados con motivo de la recuperación de los Predios denominados Parque García Lorca y Solar del Palmar, identificados catastralmente como Fracción 10, Circ. 1, Sec. 1 y Fracción 9, Circ. 1, Sec. 1, todo ello atento a la participación acordada en los autos caratulados “Compañía de Tierras y Hoteles S.A. s/ Quiebra – Incidente de Realización de Inmuebles”.</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...///4.-</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DETERMINASE </w:t>
      </w:r>
      <w:r>
        <w:rPr>
          <w:rStyle w:val="C3"/>
          <w:rFonts w:ascii="Courier New" w:hAnsi="Courier New"/>
          <w:sz w:val="24"/>
        </w:rPr>
        <w:t xml:space="preserve">que deberán presentarse ante el Honorable Concejo Deliberante los comprobantes de los pagos efectuados para la adquisición de los predios mencionados y los surgidos en concepto de gastos causídicos y honorarios profesionales, si los hubiere, a fin de que quede debidamente realizada la rendición de cuentas correspondiente.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TREINTA DIAS DEL MES DE OCTUBRE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2003-11-05T14:59:00Z</dcterms:created>
  <cp:lastModifiedBy>Ethan Puglia</cp:lastModifiedBy>
  <cp:lastPrinted>2003-11-05T16:09:00Z</cp:lastPrinted>
  <dcterms:modified xsi:type="dcterms:W3CDTF">2019-03-28T17:33:59Z</dcterms:modified>
  <cp:revision>10</cp:revision>
  <dc:title>ORDENANZA  Nº  5354</dc:title>
</cp:coreProperties>
</file>