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0CE60A4" Type="http://schemas.openxmlformats.org/officeDocument/2006/relationships/officeDocument" Target="/word/document.xml" /><Relationship Id="coreR40CE60A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6660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1647/02 iniciado por la Sra. María Susana Mattos solicitando exención de Tasa por Servicios a la Propiedad y baja de comercio;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estudio socioeconómico realizado informa que se trata de una familia en situación de carencia;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adjunta declaración jurada realizada ante autoridad policial avalada por testigos donde constan los escasos ingresos que percibe esta familia;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6 de noviembre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</w:t>
      </w:r>
      <w:r>
        <w:rPr>
          <w:rStyle w:val="C3"/>
          <w:b w:val="1"/>
          <w:sz w:val="24"/>
          <w:u w:val="single"/>
        </w:rPr>
        <w:t>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la baja del Comercio Legajo Nº 6550 a partir del mes de febrero de 1994 quedando eliminada la deuda con el Municipio que hubiere generado en concepto de Tasa por Servicios de Inspección General e Higiene.    </w:t>
      </w:r>
      <w:r>
        <w:rPr>
          <w:rStyle w:val="C3"/>
          <w:b w:val="1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SOLICITAR </w:t>
      </w:r>
      <w:r>
        <w:rPr>
          <w:rStyle w:val="C3"/>
          <w:rFonts w:ascii="Courier New" w:hAnsi="Courier New"/>
          <w:sz w:val="24"/>
        </w:rPr>
        <w:t xml:space="preserve">al Departamento Ejecutivo interceda ante el procurador actuante a fin de dejar sin efecto la acción judicial iniciada y renuncie a sus honorarios conforme a lo establecido en el convenio suscripto con el Municipio. </w:t>
      </w: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EXIMIR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al Contribuyente Nº 9805 de la deuda no prescripta que en concepto de Tasa por Servicios a la Propiedad mantiene con el Municipio al 31 de diciembre de 1999 por el inmueble designación catastral 04-01-104-010-000.  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4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REDUCIR</w:t>
      </w:r>
      <w:r>
        <w:rPr>
          <w:rStyle w:val="C3"/>
          <w:sz w:val="24"/>
        </w:rPr>
        <w:t xml:space="preserve"> en un setenta por ciento (70%) la tasa que debe tributar el inmueble mencionado en el Art.3 a partir de la promulgación de la presente Ordenanza y mientras no varíen las causas que fundamentan estos beneficios.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POR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cada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cuota abonada en término de la tasa actual eximir en forma correlativa dos (2) cuotas de la deuda remanente no eximida en el Art.3.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</w:t>
      </w:r>
      <w:r>
        <w:rPr>
          <w:rStyle w:val="C3"/>
          <w:rFonts w:ascii="Courier New" w:hAnsi="Courier New"/>
          <w:b w:val="1"/>
          <w:sz w:val="24"/>
          <w:u w:val="single"/>
        </w:rPr>
        <w:t>rt</w:t>
      </w:r>
      <w:r>
        <w:rPr>
          <w:rStyle w:val="C3"/>
          <w:rFonts w:ascii="Courier New" w:hAnsi="Courier New"/>
          <w:b w:val="1"/>
          <w:sz w:val="24"/>
          <w:u w:val="single"/>
        </w:rPr>
        <w:t>.</w:t>
      </w:r>
      <w:r>
        <w:rPr>
          <w:rStyle w:val="C3"/>
          <w:rFonts w:ascii="Courier New" w:hAnsi="Courier New"/>
          <w:b w:val="1"/>
          <w:sz w:val="24"/>
          <w:u w:val="single"/>
        </w:rPr>
        <w:t>6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EN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caso de producirse un atraso en el pago de tres (3) cuotas consecutivas o cinco (5) cuotas alternadas de la tasa actual, como así también en caso de transferirse el inmueble al que se hace referencia, estos beneficios  caducarán en forma automática y definitiva.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7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SEIS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2003-11-05T01:56:00Z</dcterms:created>
  <cp:lastModifiedBy>Ethan Puglia</cp:lastModifiedBy>
  <cp:lastPrinted>2003-11-05T02:55:00Z</cp:lastPrinted>
  <dcterms:modified xsi:type="dcterms:W3CDTF">2019-03-28T17:33:59Z</dcterms:modified>
  <cp:revision>21</cp:revision>
  <dc:title>ORDENANZA  Nº  5354</dc:title>
</cp:coreProperties>
</file>