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3D7CE04" Type="http://schemas.openxmlformats.org/officeDocument/2006/relationships/officeDocument" Target="/word/document.xml" /><Relationship Id="coreR33D7CE0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6689</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Expediente Nº 232/02 iniciado por el Sr. Manuel Víctor Pereyra solicitando se reconsidere lo resuelto mediante Ordenanza Nº 5656 y exención de Tasas de Cementerio; y </w:t>
      </w:r>
    </w:p>
    <w:p>
      <w:pPr>
        <w:rPr>
          <w:rStyle w:val="C3"/>
        </w:rPr>
      </w:pP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Administración de Cementerio informa que el solicitante registra deuda por Derechos de Introducción y concesión de uso;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y teniendo en cuenta el reciente fallecimiento del Sr. Pereyra, la Comisión de Hacienda emite despacho accediendo a lo solicitado, despacho aprobado por unanimidad en Sesión de fecha 13 de noviembre de 2003.</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w:t>
      </w:r>
      <w:r>
        <w:rPr>
          <w:rStyle w:val="C3"/>
          <w:b w:val="1"/>
          <w:sz w:val="24"/>
          <w:u w:val="single"/>
        </w:rPr>
        <w:t>.</w:t>
      </w:r>
      <w:r>
        <w:rPr>
          <w:rStyle w:val="C3"/>
          <w:b w:val="1"/>
          <w:sz w:val="24"/>
          <w:u w:val="single"/>
        </w:rPr>
        <w:t>1:</w:t>
      </w:r>
      <w:r>
        <w:rPr>
          <w:rStyle w:val="C3"/>
          <w:b w:val="1"/>
          <w:sz w:val="24"/>
        </w:rPr>
        <w:t xml:space="preserve"> </w:t>
      </w:r>
      <w:r>
        <w:rPr>
          <w:rStyle w:val="C3"/>
          <w:b w:val="1"/>
          <w:sz w:val="24"/>
        </w:rPr>
        <w:t>EXIMIR</w:t>
      </w:r>
      <w:r>
        <w:rPr>
          <w:rStyle w:val="C3"/>
          <w:b w:val="1"/>
          <w:sz w:val="24"/>
        </w:rPr>
        <w:t xml:space="preserve"> </w:t>
      </w:r>
      <w:r>
        <w:rPr>
          <w:rStyle w:val="C3"/>
          <w:sz w:val="24"/>
        </w:rPr>
        <w:t>el pago de Derechos de Introducción al Cementerio por el ingreso de los restos de la Sra. Atlántida Irene Cecchi, inhumados el día 19 de julio de 2003 en la Identificación Nº 6578 y eximir la concesión de uso por DIEZ (10) años.</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w:t>
      </w:r>
      <w:r>
        <w:rPr>
          <w:rStyle w:val="C3"/>
          <w:b w:val="1"/>
          <w:sz w:val="24"/>
          <w:u w:val="single"/>
        </w:rPr>
        <w:t>.</w:t>
      </w:r>
      <w:r>
        <w:rPr>
          <w:rStyle w:val="C3"/>
          <w:b w:val="1"/>
          <w:sz w:val="24"/>
          <w:u w:val="single"/>
        </w:rPr>
        <w:t>2:</w:t>
      </w:r>
      <w:r>
        <w:rPr>
          <w:rStyle w:val="C3"/>
          <w:b w:val="1"/>
          <w:sz w:val="24"/>
        </w:rPr>
        <w:t xml:space="preserve"> EXIMIR</w:t>
      </w:r>
      <w:r>
        <w:rPr>
          <w:rStyle w:val="C3"/>
          <w:sz w:val="24"/>
        </w:rPr>
        <w:t xml:space="preserve"> la deuda que registre la mencionada identificación haciendo extensiva la exención hasta el 31 de diciembre de 2004.</w:t>
      </w:r>
    </w:p>
    <w:p>
      <w:pPr>
        <w:pStyle w:val="P8"/>
        <w:ind w:hanging="709" w:left="709"/>
        <w:jc w:val="both"/>
        <w:rPr>
          <w:rStyle w:val="C3"/>
          <w:b w:val="1"/>
          <w:sz w:val="24"/>
          <w:u w:val="single"/>
        </w:rPr>
      </w:pPr>
    </w:p>
    <w:p>
      <w:pPr>
        <w:pStyle w:val="P8"/>
        <w:ind w:hanging="709" w:left="709"/>
        <w:jc w:val="both"/>
        <w:rPr>
          <w:rStyle w:val="C3"/>
          <w:sz w:val="24"/>
        </w:rPr>
      </w:pPr>
    </w:p>
    <w:p>
      <w:pPr>
        <w:pStyle w:val="P8"/>
        <w:ind w:hanging="709" w:left="709"/>
        <w:jc w:val="right"/>
        <w:rPr>
          <w:rStyle w:val="C3"/>
          <w:sz w:val="24"/>
        </w:rPr>
      </w:pPr>
      <w:r>
        <w:rPr>
          <w:rStyle w:val="C3"/>
          <w:sz w:val="24"/>
        </w:rPr>
        <w:t>...///</w:t>
      </w:r>
    </w:p>
    <w:p>
      <w:pPr>
        <w:pStyle w:val="P8"/>
        <w:ind w:hanging="709" w:left="709"/>
        <w:jc w:val="both"/>
        <w:rPr>
          <w:rStyle w:val="C3"/>
          <w:sz w:val="24"/>
        </w:rPr>
      </w:pPr>
    </w:p>
    <w:p>
      <w:pPr>
        <w:pStyle w:val="P8"/>
        <w:ind w:hanging="709" w:left="709"/>
        <w:jc w:val="both"/>
        <w:rPr>
          <w:rStyle w:val="C3"/>
          <w:sz w:val="24"/>
        </w:rPr>
      </w:pPr>
    </w:p>
    <w:p>
      <w:pPr>
        <w:pStyle w:val="P8"/>
        <w:ind w:hanging="709" w:left="709"/>
        <w:jc w:val="both"/>
        <w:rPr>
          <w:rStyle w:val="C3"/>
          <w:sz w:val="24"/>
        </w:rPr>
      </w:pPr>
    </w:p>
    <w:p>
      <w:pPr>
        <w:pStyle w:val="P8"/>
        <w:ind w:hanging="709" w:left="709"/>
        <w:jc w:val="both"/>
        <w:rPr>
          <w:rStyle w:val="C3"/>
          <w:sz w:val="24"/>
        </w:rPr>
      </w:pPr>
    </w:p>
    <w:p>
      <w:pPr>
        <w:pStyle w:val="P8"/>
        <w:ind w:hanging="709" w:left="709"/>
        <w:jc w:val="both"/>
        <w:rPr>
          <w:rStyle w:val="C3"/>
          <w:sz w:val="24"/>
        </w:rPr>
      </w:pPr>
    </w:p>
    <w:p>
      <w:pPr>
        <w:pStyle w:val="P8"/>
        <w:ind w:hanging="709" w:left="709"/>
        <w:jc w:val="both"/>
        <w:rPr>
          <w:rStyle w:val="C3"/>
          <w:sz w:val="24"/>
        </w:rPr>
      </w:pPr>
    </w:p>
    <w:p>
      <w:pPr>
        <w:pStyle w:val="P8"/>
        <w:ind w:hanging="709" w:left="709"/>
        <w:jc w:val="both"/>
        <w:rPr>
          <w:rStyle w:val="C3"/>
          <w:sz w:val="24"/>
        </w:rPr>
      </w:pPr>
    </w:p>
    <w:p>
      <w:pPr>
        <w:pStyle w:val="P8"/>
        <w:ind w:hanging="709" w:left="709"/>
        <w:jc w:val="both"/>
        <w:rPr>
          <w:rStyle w:val="C3"/>
          <w:sz w:val="24"/>
        </w:rPr>
      </w:pPr>
      <w:r>
        <w:rPr>
          <w:rStyle w:val="C3"/>
          <w:sz w:val="24"/>
        </w:rPr>
        <w:t>...///2.-</w:t>
      </w:r>
    </w:p>
    <w:p>
      <w:pPr>
        <w:pStyle w:val="P8"/>
        <w:ind w:hanging="709" w:left="709"/>
        <w:jc w:val="both"/>
        <w:rPr>
          <w:rStyle w:val="C3"/>
          <w:sz w:val="24"/>
        </w:rPr>
      </w:pPr>
      <w:r>
        <w:rPr>
          <w:rStyle w:val="C3"/>
          <w:sz w:val="24"/>
        </w:rPr>
        <w:t xml:space="preserve">   </w:t>
      </w:r>
    </w:p>
    <w:p>
      <w:pPr>
        <w:pStyle w:val="P8"/>
        <w:ind w:hanging="709" w:left="709"/>
        <w:jc w:val="both"/>
        <w:rPr>
          <w:rStyle w:val="C3"/>
          <w:sz w:val="24"/>
        </w:rPr>
      </w:pPr>
    </w:p>
    <w:p>
      <w:pPr>
        <w:pStyle w:val="P8"/>
        <w:ind w:hanging="709" w:left="709"/>
        <w:jc w:val="both"/>
        <w:rPr>
          <w:rStyle w:val="C3"/>
          <w:sz w:val="24"/>
        </w:rPr>
      </w:pPr>
    </w:p>
    <w:p>
      <w:pPr>
        <w:pStyle w:val="P8"/>
        <w:ind w:hanging="709" w:left="709"/>
        <w:jc w:val="both"/>
        <w:rPr>
          <w:rStyle w:val="C3"/>
          <w:b w:val="1"/>
          <w:sz w:val="24"/>
          <w:u w:val="single"/>
        </w:rPr>
      </w:pPr>
      <w:r>
        <w:rPr>
          <w:rStyle w:val="C3"/>
          <w:b w:val="1"/>
          <w:sz w:val="24"/>
          <w:u w:val="single"/>
        </w:rPr>
        <w:t>A</w:t>
      </w:r>
      <w:r>
        <w:rPr>
          <w:rStyle w:val="C3"/>
          <w:b w:val="1"/>
          <w:sz w:val="24"/>
          <w:u w:val="single"/>
        </w:rPr>
        <w:t>rt.3:</w:t>
      </w:r>
      <w:r>
        <w:rPr>
          <w:rStyle w:val="C3"/>
          <w:sz w:val="24"/>
        </w:rPr>
        <w:t xml:space="preserve"> </w:t>
      </w:r>
      <w:r>
        <w:rPr>
          <w:rStyle w:val="C3"/>
          <w:b w:val="1"/>
          <w:sz w:val="24"/>
        </w:rPr>
        <w:t>EXIMIR</w:t>
      </w:r>
      <w:r>
        <w:rPr>
          <w:rStyle w:val="C3"/>
          <w:b w:val="1"/>
          <w:sz w:val="24"/>
        </w:rPr>
        <w:t xml:space="preserve"> </w:t>
      </w:r>
      <w:r>
        <w:rPr>
          <w:rStyle w:val="C3"/>
          <w:sz w:val="24"/>
        </w:rPr>
        <w:t>la deuda no prescripta que en concepto de Tasa por Servicios a la Propiedad mantiene el inmueble designación catastral 01-01-216-013-000, incluidas las cuotas impagas que registre del plan Nº 22912, haciendo extensivo este beneficio hasta el 31 de diciembre de 2004.</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TRECE DIAS DEL MES DE NOVIEMBRE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Mar w:left="1701" w:right="1701" w:top="1134"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2003-11-09T02:58:00Z</dcterms:created>
  <cp:lastModifiedBy>Ethan Puglia</cp:lastModifiedBy>
  <cp:lastPrinted>2003-11-09T04:34:00Z</cp:lastPrinted>
  <dcterms:modified xsi:type="dcterms:W3CDTF">2019-03-28T17:34:00Z</dcterms:modified>
  <cp:revision>9</cp:revision>
  <dc:title>ORDENANZA  Nº  5354</dc:title>
</cp:coreProperties>
</file>