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DE0637C" Type="http://schemas.openxmlformats.org/officeDocument/2006/relationships/officeDocument" Target="/word/document.xml" /><Relationship Id="coreR6DE0637C"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6690</w:t>
      </w: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 xml:space="preserve">Visto: El Expediente Nº 1602/02 iniciado por el Sr. José Antonio López solicitando exención de Tasa por Servicios a la Propiedad; y </w:t>
      </w:r>
    </w:p>
    <w:p>
      <w:pPr>
        <w:rPr>
          <w:rStyle w:val="C3"/>
        </w:rPr>
      </w:pPr>
    </w:p>
    <w:p>
      <w:pPr>
        <w:rPr>
          <w:rStyle w:val="C3"/>
        </w:rPr>
      </w:pPr>
    </w:p>
    <w:p>
      <w:pPr>
        <w:rPr>
          <w:rStyle w:val="C3"/>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el estudio socioeconómico realizado indica que se trata de una familia en la cual ambos cónyuges se encuentran desocupados, realizando grandes esfuerzos para cubrir sus necesidades;  </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Hacienda, la misma emite despacho otorgando los beneficios de la Ordenanza 5485, despacho aprobado por unanimidad en Sesión de fecha 13 de noviembre de 2003.</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w:t>
      </w:r>
      <w:r>
        <w:rPr>
          <w:rStyle w:val="C3"/>
          <w:b w:val="1"/>
          <w:sz w:val="24"/>
          <w:u w:val="single"/>
        </w:rPr>
        <w:t>.</w:t>
      </w:r>
      <w:r>
        <w:rPr>
          <w:rStyle w:val="C3"/>
          <w:b w:val="1"/>
          <w:sz w:val="24"/>
          <w:u w:val="single"/>
        </w:rPr>
        <w:t>1:</w:t>
      </w:r>
      <w:r>
        <w:rPr>
          <w:rStyle w:val="C3"/>
          <w:b w:val="1"/>
          <w:sz w:val="24"/>
        </w:rPr>
        <w:t xml:space="preserve"> </w:t>
      </w:r>
      <w:r>
        <w:rPr>
          <w:rStyle w:val="C3"/>
          <w:b w:val="1"/>
          <w:sz w:val="24"/>
        </w:rPr>
        <w:t>FIJAR</w:t>
      </w:r>
      <w:r>
        <w:rPr>
          <w:rStyle w:val="C3"/>
          <w:sz w:val="24"/>
        </w:rPr>
        <w:t xml:space="preserve">  como  cuota mensual  a abonar  en  concepto de Tasa por Servicios a la Propiedad  desde la promulgación de la presente y hasta el 31 de diciembre de 2004, la  suma  de PESOS  TRES ($3.-), al inmueble designación catastral Nº 04-01-073-028-000.</w:t>
      </w:r>
    </w:p>
    <w:p>
      <w:pPr>
        <w:ind w:hanging="709" w:left="709"/>
        <w:jc w:val="right"/>
        <w:rPr>
          <w:rStyle w:val="C3"/>
          <w:rFonts w:ascii="Courier New" w:hAnsi="Courier New"/>
          <w:sz w:val="24"/>
        </w:rPr>
      </w:pPr>
    </w:p>
    <w:p>
      <w:pPr>
        <w:ind w:hanging="709" w:left="709"/>
        <w:jc w:val="both"/>
        <w:rPr>
          <w:rStyle w:val="C3"/>
          <w:rFonts w:ascii="Courier New" w:hAnsi="Courier New"/>
          <w:b w:val="1"/>
          <w:sz w:val="24"/>
          <w:u w:val="single"/>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w:t>
      </w:r>
      <w:r>
        <w:rPr>
          <w:rStyle w:val="C3"/>
          <w:rFonts w:ascii="Courier New" w:hAnsi="Courier New"/>
          <w:b w:val="1"/>
          <w:sz w:val="24"/>
        </w:rPr>
        <w:t>POR</w:t>
      </w:r>
      <w:r>
        <w:rPr>
          <w:rStyle w:val="C3"/>
          <w:rFonts w:ascii="Courier New" w:hAnsi="Courier New"/>
          <w:b w:val="1"/>
          <w:sz w:val="24"/>
        </w:rPr>
        <w:t xml:space="preserve"> </w:t>
      </w:r>
      <w:r>
        <w:rPr>
          <w:rStyle w:val="C3"/>
          <w:rFonts w:ascii="Courier New" w:hAnsi="Courier New"/>
          <w:sz w:val="24"/>
        </w:rPr>
        <w:t>cada</w:t>
      </w:r>
      <w:r>
        <w:rPr>
          <w:rStyle w:val="C3"/>
          <w:rFonts w:ascii="Courier New" w:hAnsi="Courier New"/>
          <w:b w:val="1"/>
          <w:sz w:val="24"/>
        </w:rPr>
        <w:t xml:space="preserve"> </w:t>
      </w:r>
      <w:r>
        <w:rPr>
          <w:rStyle w:val="C3"/>
          <w:rFonts w:ascii="Courier New" w:hAnsi="Courier New"/>
          <w:sz w:val="24"/>
        </w:rPr>
        <w:t>cuota abonada en término conforme a lo establecido en el Art.1, eximir una (1) cuota de la deuda en forma correlativa.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w:t>
      </w:r>
      <w:r>
        <w:rPr>
          <w:rStyle w:val="C3"/>
          <w:rFonts w:ascii="Courier New" w:hAnsi="Courier New"/>
          <w:b w:val="1"/>
          <w:sz w:val="24"/>
          <w:u w:val="single"/>
        </w:rPr>
        <w:t>rt</w:t>
      </w:r>
      <w:r>
        <w:rPr>
          <w:rStyle w:val="C3"/>
          <w:rFonts w:ascii="Courier New" w:hAnsi="Courier New"/>
          <w:b w:val="1"/>
          <w:sz w:val="24"/>
          <w:u w:val="single"/>
        </w:rPr>
        <w:t>.</w:t>
      </w:r>
      <w:r>
        <w:rPr>
          <w:rStyle w:val="C3"/>
          <w:rFonts w:ascii="Courier New" w:hAnsi="Courier New"/>
          <w:b w:val="1"/>
          <w:sz w:val="24"/>
          <w:u w:val="single"/>
        </w:rPr>
        <w:t>3</w:t>
      </w:r>
      <w:r>
        <w:rPr>
          <w:rStyle w:val="C3"/>
          <w:rFonts w:ascii="Courier New" w:hAnsi="Courier New"/>
          <w:b w:val="1"/>
          <w:sz w:val="24"/>
          <w:u w:val="single"/>
        </w:rPr>
        <w:t>:</w:t>
      </w:r>
      <w:r>
        <w:rPr>
          <w:rStyle w:val="C3"/>
          <w:rFonts w:ascii="Courier New" w:hAnsi="Courier New"/>
          <w:b w:val="1"/>
          <w:sz w:val="24"/>
        </w:rPr>
        <w:t xml:space="preserve"> </w:t>
      </w:r>
      <w:r>
        <w:rPr>
          <w:rStyle w:val="C3"/>
          <w:rFonts w:ascii="Courier New" w:hAnsi="Courier New"/>
          <w:b w:val="1"/>
          <w:sz w:val="24"/>
        </w:rPr>
        <w:t xml:space="preserve"> </w:t>
      </w:r>
      <w:r>
        <w:rPr>
          <w:rStyle w:val="C3"/>
          <w:rFonts w:ascii="Courier New" w:hAnsi="Courier New"/>
          <w:b w:val="1"/>
          <w:sz w:val="24"/>
        </w:rPr>
        <w:t>EN</w:t>
      </w:r>
      <w:r>
        <w:rPr>
          <w:rStyle w:val="C3"/>
          <w:rFonts w:ascii="Courier New" w:hAnsi="Courier New"/>
          <w:b w:val="1"/>
          <w:sz w:val="24"/>
        </w:rPr>
        <w:t xml:space="preserve"> </w:t>
      </w:r>
      <w:r>
        <w:rPr>
          <w:rStyle w:val="C3"/>
          <w:rFonts w:ascii="Courier New" w:hAnsi="Courier New"/>
          <w:sz w:val="24"/>
        </w:rPr>
        <w:t>caso de transferencia del inmueble mencionado o cambio de la condición económica del contribuyente, este beneficio caducará en forma automática.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4</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TRECE DIAS DEL MES DE NOVIEMBRE DEL AÑO DOS MIL TRES.</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sectPr>
      <w:type w:val="nextPage"/>
      <w:pgMar w:left="1701" w:right="1701" w:top="1134"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2003-11-09T04:38:00Z</dcterms:created>
  <cp:lastModifiedBy>Ethan Puglia</cp:lastModifiedBy>
  <cp:lastPrinted>2003-11-05T01:26:00Z</cp:lastPrinted>
  <dcterms:modified xsi:type="dcterms:W3CDTF">2019-03-28T17:34:00Z</dcterms:modified>
  <cp:revision>11</cp:revision>
  <dc:title>ORDENANZA  Nº  5354</dc:title>
</cp:coreProperties>
</file>