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BCE8A2E" Type="http://schemas.openxmlformats.org/officeDocument/2006/relationships/officeDocument" Target="/word/document.xml" /><Relationship Id="coreR2BCE8A2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6694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Señor Intendente elevando para su ratificación el contrato de comodato suscripto por este Municipio y los representantes de la Cooperativa Agropecuaria de Productores Agrarios, Pecuarios y Hortícolas de Alta Gracia Limitada;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convenio por el cual se otorga en Comodato a la Cooperativa parte del inmueble donde funcionara en otra época el Matadero Municipal, se emite despacho accediendo a su aprobación con modificaciones, despacho aprobado por unanimidad en Sesión de fecha 13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APROBAR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el convenio suscripto entre la Municipalidad de Alta Gracia y la Cooperativa Agropecuaria de Productores Agrarios, Pecuarios y Hortícolas de Alta Gracia Limitada con las siguientes modificaciones:</w:t>
      </w:r>
    </w:p>
    <w:p>
      <w:pPr>
        <w:pStyle w:val="P8"/>
        <w:numPr>
          <w:ilvl w:val="0"/>
          <w:numId w:val="2"/>
        </w:numPr>
        <w:tabs>
          <w:tab w:val="clear" w:pos="360" w:leader="none"/>
          <w:tab w:val="left" w:pos="1418" w:leader="none"/>
        </w:tabs>
        <w:ind w:firstLine="0" w:left="1134"/>
        <w:jc w:val="both"/>
        <w:rPr>
          <w:rStyle w:val="C3"/>
          <w:sz w:val="24"/>
        </w:rPr>
      </w:pPr>
      <w:r>
        <w:rPr>
          <w:rStyle w:val="C3"/>
          <w:sz w:val="24"/>
        </w:rPr>
        <w:t>En la Cláusula Cuarta el período de gracia establecido en el apartado a) debe fijarse en doce (12) meses con las mismas condiciones allí establecidas.</w:t>
      </w:r>
    </w:p>
    <w:p>
      <w:pPr>
        <w:pStyle w:val="P8"/>
        <w:numPr>
          <w:ilvl w:val="0"/>
          <w:numId w:val="2"/>
        </w:numPr>
        <w:tabs>
          <w:tab w:val="clear" w:pos="360" w:leader="none"/>
          <w:tab w:val="left" w:pos="1418" w:leader="none"/>
        </w:tabs>
        <w:ind w:firstLine="0" w:left="1134"/>
        <w:jc w:val="both"/>
        <w:rPr>
          <w:rStyle w:val="C3"/>
          <w:sz w:val="24"/>
        </w:rPr>
      </w:pPr>
      <w:r>
        <w:rPr>
          <w:rStyle w:val="C3"/>
          <w:sz w:val="24"/>
        </w:rPr>
        <w:t>En la Cláusula Octava donde se establece el aporte que realizará la Cooperativa a la Municipalidad que se fija en el equivalente al uno por ciento (1%) de sus ventas facturadas o la suma de PESOS DOSCIENTOS CINCUENTA ($250.-) mensuales, “lo que sea menor”, deberá establecerse “lo que sea mayor”; debiendo quedar establecido en la cláusula que esta cesión es aceptada por la comodante.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  <w:r>
        <w:rPr>
          <w:rStyle w:val="C3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3A2555D8"/>
    <w:multiLevelType w:val="hybridMultilevel"/>
    <w:lvl w:ilvl="0" w:tplc="55D543EA">
      <w:start w:val="1"/>
      <w:numFmt w:val="bullet"/>
      <w:suff w:val="tab"/>
      <w:lvlText w:val="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77EE2DAE"/>
    <w:multiLevelType w:val="hybridMultilevel"/>
    <w:lvl w:ilvl="0" w:tplc="18CAAF9A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2003-11-09T14:07:00Z</dcterms:created>
  <cp:lastModifiedBy>Ethan Puglia</cp:lastModifiedBy>
  <cp:lastPrinted>2003-12-04T21:32:00Z</cp:lastPrinted>
  <dcterms:modified xsi:type="dcterms:W3CDTF">2019-03-28T17:34:00Z</dcterms:modified>
  <cp:revision>16</cp:revision>
  <dc:title>ORDENANZA  Nº  5354</dc:title>
</cp:coreProperties>
</file>