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F89BC4" Type="http://schemas.openxmlformats.org/officeDocument/2006/relationships/officeDocument" Target="/word/document.xml" /><Relationship Id="coreR2BF89BC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6732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Guillermo Mario García   solicitando exención de Tasa por Servicios a la Propiedad y de Tasa por Servicios de Administración y Mantenimiento de los Cementerios;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se encuentra sin trabajo estable, impidiéndole esta situación afrontar el pago de las tasas y comprometerse a realizar un plan de pagos;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Comisión de Hacienda, la misma emite despacho accediendo a otorgar una exención parcial de Tasa por Servicios de Administración y Mantenimiento de los Cementerios y otorgando los beneficios de la Ordenanza Nº 5485 respecto de Tasa por Servicios a la Propiedad, despacho aprobado por unanimidad en Sesión de fecha 20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una exención del cincuenta por ciento (50%) de la deuda que a la fecha de promulgación de la presente mantiene la Identificación Nº 2482 en concepto de Tasa por Servicios de Administración y Mantenimiento de los Cementerios.</w:t>
      </w:r>
      <w:r>
        <w:rPr>
          <w:rStyle w:val="C3"/>
          <w:b w:val="1"/>
          <w:sz w:val="24"/>
          <w:u w:val="single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2:</w:t>
      </w:r>
      <w:r>
        <w:rPr>
          <w:rStyle w:val="C3"/>
          <w:b w:val="1"/>
          <w:sz w:val="24"/>
        </w:rPr>
        <w:t xml:space="preserve"> AUTORIZAR</w:t>
      </w:r>
      <w:r>
        <w:rPr>
          <w:rStyle w:val="C3"/>
          <w:sz w:val="24"/>
        </w:rPr>
        <w:t xml:space="preserve"> al Departamento Ejecutivo a conceder por el cincuenta por ciento (50%) restante un plan de pagos de acuerdo a las posibilidades del Contribuyente.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la Propiedad la suma de PESOS CINCO  ($5.-), desde la promulgación de la presente Ordenanza y hasta el 31 de diciembre de 2004 al inmueble designación catastral Nº 01-01-176-047-000.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 conforme a lo establecido en el Art.3, eximir una (1) cuota de la deuda anterior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caso de transferencia del inmueble mencionado estos beneficios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2003-12-06T09:30:00Z</dcterms:created>
  <cp:lastModifiedBy>Ethan Puglia</cp:lastModifiedBy>
  <cp:lastPrinted>2003-12-06T09:53:00Z</cp:lastPrinted>
  <dcterms:modified xsi:type="dcterms:W3CDTF">2019-03-28T17:34:01Z</dcterms:modified>
  <cp:revision>11</cp:revision>
  <dc:title>ORDENANZA  Nº  5354</dc:title>
</cp:coreProperties>
</file>