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8C7BB7" Type="http://schemas.openxmlformats.org/officeDocument/2006/relationships/officeDocument" Target="/word/document.xml" /><Relationship Id="coreR588C7BB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Comisión Municipal de Bicicross solicitando se declare de Interés Municipal a la fecha del Campeonato Nacional de Bicicross que se llevará a cabo en el año 2004;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muy importante para nuestra ciudad contar con una fecha puntable del Campeonato Nacional de Bicross, disciplina que tantos títulos ha conseguido para Alta Gracia;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loable el esfuerzo que realizan los padres de los deportistas que integran la Comisión para lograr eventos de importancia en nuestra ciudad;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en Sesión de fecha 20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DECLARAR</w:t>
      </w:r>
      <w:r>
        <w:rPr>
          <w:rStyle w:val="C3"/>
          <w:sz w:val="24"/>
        </w:rPr>
        <w:t xml:space="preserve"> de Interés Deportivo Municipal la realización de una fecha puntable del Campeonato Nacional de Bicicross del año 2004, en la ciudad de Alta Gracia.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2003-12-06T10:59:00Z</dcterms:created>
  <cp:lastModifiedBy>Ethan Puglia</cp:lastModifiedBy>
  <cp:lastPrinted>2003-12-06T12:33:00Z</cp:lastPrinted>
  <dcterms:modified xsi:type="dcterms:W3CDTF">2019-03-28T17:34:01Z</dcterms:modified>
  <cp:revision>11</cp:revision>
  <dc:title>ORDENANZA  Nº  5354</dc:title>
</cp:coreProperties>
</file>