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58DE5DC" Type="http://schemas.openxmlformats.org/officeDocument/2006/relationships/officeDocument" Target="/word/document.xml" /><Relationship Id="coreR158DE5D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r>
        <w:rPr>
          <w:rStyle w:val="C3"/>
          <w:rFonts w:ascii="Courier New" w:hAnsi="Courier New"/>
        </w:rPr>
        <w:t xml:space="preserve">ORDENANZA  Nº 6758</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1762/03 iniciado por la Sra. Leonor Noemí Yapura solicitando lote en donación;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se cumplimentan los requisitos exigidos por Ordenanza para ser beneficiaria de lote en donación;</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Legislación General, la misma emite despacho accediendo a lo solicitado, despacho aprobado por unanimidad en Sesión de fecha 27 de noviembre de 2003.</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O</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G</w:t>
      </w:r>
      <w:r>
        <w:rPr>
          <w:rStyle w:val="C3"/>
          <w:rFonts w:ascii="Courier New" w:hAnsi="Courier New"/>
          <w:b w:val="1"/>
          <w:sz w:val="24"/>
        </w:rPr>
        <w:t>A</w:t>
      </w:r>
      <w:r>
        <w:rPr>
          <w:rStyle w:val="C3"/>
          <w:rFonts w:ascii="Courier New" w:hAnsi="Courier New"/>
          <w:b w:val="1"/>
          <w:sz w:val="24"/>
        </w:rPr>
        <w:t>R</w:t>
      </w:r>
      <w:r>
        <w:rPr>
          <w:rStyle w:val="C3"/>
          <w:rFonts w:ascii="Courier New" w:hAnsi="Courier New"/>
          <w:sz w:val="24"/>
        </w:rPr>
        <w:t xml:space="preserve"> en donación a la Sra. Leonor Noemí Yapura, D.N.I. Nº 21.790.379 el lote 8 de la Mz. Of. 20, designación catastral 03-01-314-008, de Barrio Parque San Juan.</w:t>
      </w:r>
    </w:p>
    <w:p>
      <w:pPr>
        <w:ind w:hanging="709" w:left="709"/>
        <w:jc w:val="both"/>
        <w:rPr>
          <w:rStyle w:val="C3"/>
          <w:rFonts w:ascii="Courier New" w:hAnsi="Courier New"/>
          <w:b w:val="1"/>
          <w:sz w:val="24"/>
          <w:u w:val="single"/>
        </w:rPr>
      </w:pPr>
    </w:p>
    <w:p>
      <w:pPr>
        <w:pStyle w:val="P8"/>
        <w:ind w:hanging="709" w:left="709"/>
        <w:jc w:val="both"/>
        <w:rPr>
          <w:rStyle w:val="C3"/>
          <w:sz w:val="24"/>
        </w:rPr>
      </w:pPr>
      <w:r>
        <w:rPr>
          <w:rStyle w:val="C3"/>
          <w:b w:val="1"/>
          <w:sz w:val="24"/>
          <w:u w:val="single"/>
        </w:rPr>
        <w:t>Art.2:</w:t>
      </w:r>
      <w:r>
        <w:rPr>
          <w:rStyle w:val="C3"/>
          <w:sz w:val="24"/>
        </w:rPr>
        <w:t xml:space="preserve"> </w:t>
      </w:r>
      <w:r>
        <w:rPr>
          <w:rStyle w:val="C3"/>
          <w:b w:val="1"/>
          <w:sz w:val="24"/>
        </w:rPr>
        <w:t>L</w:t>
      </w:r>
      <w:r>
        <w:rPr>
          <w:rStyle w:val="C3"/>
          <w:b w:val="1"/>
          <w:sz w:val="24"/>
        </w:rPr>
        <w:t>A</w:t>
      </w:r>
      <w:r>
        <w:rPr>
          <w:rStyle w:val="C3"/>
          <w:sz w:val="24"/>
        </w:rPr>
        <w:t xml:space="preserve"> beneficiaria deberá edificar en un plazo máximo de dieciocho (18) meses a partir de la promulgación de la presente Ordenanza, según el correspondiente plano aprobado por las oficinas técnicas correspondientes.</w:t>
      </w:r>
    </w:p>
    <w:p>
      <w:pPr>
        <w:pStyle w:val="P8"/>
        <w:ind w:hanging="709" w:left="709"/>
        <w:jc w:val="right"/>
        <w:rPr>
          <w:rStyle w:val="C3"/>
          <w:sz w:val="24"/>
        </w:rPr>
      </w:pPr>
    </w:p>
    <w:p>
      <w:pPr>
        <w:pStyle w:val="P8"/>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Artículo anterior, debiendo restituir el inmueble a la Municipalidad de Alta Gracia y sólo podrá solicitar prórroga para construir si tiene las tasas al día.</w:t>
      </w:r>
    </w:p>
    <w:p>
      <w:pPr>
        <w:pStyle w:val="P8"/>
        <w:ind w:hanging="709" w:left="709"/>
        <w:jc w:val="right"/>
        <w:rPr>
          <w:rStyle w:val="C3"/>
          <w:sz w:val="24"/>
        </w:rPr>
      </w:pPr>
      <w:r>
        <w:rPr>
          <w:rStyle w:val="C3"/>
          <w:sz w:val="24"/>
        </w:rPr>
        <w:t>...///</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sz w:val="24"/>
        </w:rPr>
        <w:t>...///2.-</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la beneficiaria abonar en su totalidad las cargas tributarias que gravan el inmueble, las  contribuciones  por mejoras, desde la fecha de la donación y los gastos de transferencia de dominio. En el supuesto de incumplimiento de esta obligación, la Municipalidad no se hará  cargo en ningún caso de las erogaciones que deba pagar la beneficiaria de acuerdo al presente artículo, debiendo abonar y mantener al día desde la fecha de la presente, la Tasa por Servicios a la Propiedad.</w:t>
      </w:r>
    </w:p>
    <w:p>
      <w:pPr>
        <w:pStyle w:val="P8"/>
        <w:jc w:val="both"/>
        <w:rPr>
          <w:rStyle w:val="C3"/>
          <w:sz w:val="24"/>
        </w:rPr>
      </w:pPr>
    </w:p>
    <w:p>
      <w:pPr>
        <w:pStyle w:val="P8"/>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 la solicitante y su grupo familiar siendo intransferible por el término de diez (10) años.</w:t>
      </w:r>
    </w:p>
    <w:p>
      <w:pPr>
        <w:pStyle w:val="P8"/>
        <w:jc w:val="both"/>
        <w:rPr>
          <w:rStyle w:val="C3"/>
          <w:sz w:val="24"/>
        </w:rPr>
      </w:pPr>
    </w:p>
    <w:p>
      <w:pPr>
        <w:pStyle w:val="P8"/>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w:t>
      </w: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y previa verificación de que posee las tasas al día, siendo los gastos a cargo de la beneficiaria.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8</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VEINTISIETE DIAS DEL MES DE NOVIEMBRE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2004-01-21T13:45:00Z</dcterms:created>
  <cp:lastModifiedBy>Ethan Puglia</cp:lastModifiedBy>
  <cp:lastPrinted>2004-01-21T13:40:00Z</cp:lastPrinted>
  <dcterms:modified xsi:type="dcterms:W3CDTF">2019-03-28T17:34:01Z</dcterms:modified>
  <cp:revision>5</cp:revision>
  <dc:title>ORDENANZA  Nº  5354</dc:title>
</cp:coreProperties>
</file>