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word/theme/theme1.xml" ContentType="application/vnd.openxmlformats-officedocument.theme+xml"/>
</Types>
</file>

<file path=_rels/.rels>&#65279;<?xml version="1.0" encoding="utf-8"?><Relationships xmlns="http://schemas.openxmlformats.org/package/2006/relationships"><Relationship Id="R45ADC94D" Type="http://schemas.openxmlformats.org/officeDocument/2006/relationships/officeDocument" Target="/word/document.xml" /><Relationship Id="coreR45ADC94D" Type="http://schemas.openxmlformats.org/package/2006/relationships/metadata/core-properties" Target="/docProps/core.xml" /></Relationships>
</file>

<file path=word/document.xml><?xml version="1.0" encoding="utf-8"?>
<w:document xmlns:w="http://schemas.openxmlformats.org/wordprocessingml/2006/main" xmlns:wps="http://schemas.microsoft.com/office/word/2010/wordprocessingShape" xmlns:mc="http://schemas.openxmlformats.org/markup-compatibility/2006" xmlns:w10="urn:schemas-microsoft-com:office:word" xmlns:v="urn:schemas-microsoft-com:vml" xmlns:wp14="http://schemas.microsoft.com/office/word/2010/wordprocessingDrawing" mc:Ignorable="wp14">
  <w:body>
    <w:p>
      <w:pPr>
        <w:pStyle w:val="P4"/>
        <w:rPr>
          <w:rStyle w:val="C3"/>
          <w:rFonts w:ascii="Courier New" w:hAnsi="Courier New"/>
        </w:rPr>
      </w:pPr>
      <w:r>
        <w:rPr>
          <w:rStyle w:val="C3"/>
          <w:rFonts w:ascii="Courier New" w:hAnsi="Courier New"/>
        </w:rPr>
        <w:t xml:space="preserve">ORDENANZA  Nº 6763</w:t>
      </w:r>
    </w:p>
    <w:p>
      <w:pPr>
        <w:jc w:val="center"/>
        <w:rPr>
          <w:rStyle w:val="C3"/>
          <w:rFonts w:ascii="Courier New" w:hAnsi="Courier New"/>
          <w:sz w:val="24"/>
        </w:rPr>
      </w:pPr>
    </w:p>
    <w:p>
      <w:pPr>
        <w:pStyle w:val="P5"/>
        <w:rPr>
          <w:rStyle w:val="C3"/>
          <w:rFonts w:ascii="Courier New" w:hAnsi="Courier New"/>
        </w:rPr>
      </w:pPr>
    </w:p>
    <w:p>
      <w:pPr>
        <w:pStyle w:val="P5"/>
        <w:rPr>
          <w:rStyle w:val="C3"/>
          <w:rFonts w:ascii="Courier New" w:hAnsi="Courier New"/>
        </w:rPr>
      </w:pPr>
    </w:p>
    <w:p>
      <w:pPr>
        <w:pStyle w:val="P5"/>
        <w:rPr>
          <w:rStyle w:val="C3"/>
          <w:rFonts w:ascii="Courier New" w:hAnsi="Courier New"/>
        </w:rPr>
      </w:pPr>
      <w:r>
        <w:rPr>
          <w:rStyle w:val="C3"/>
          <w:rFonts w:ascii="Courier New" w:hAnsi="Courier New"/>
        </w:rPr>
        <w:t>Visto: El Expediente Nº 346/03 iniciado por la Sra. Claudia A. Quintana de Rodríguez solicitando lote en donación; y</w:t>
      </w:r>
    </w:p>
    <w:p>
      <w:pPr>
        <w:ind w:hanging="709" w:left="709"/>
        <w:jc w:val="both"/>
        <w:rPr>
          <w:rStyle w:val="C3"/>
          <w:rFonts w:ascii="Courier New" w:hAnsi="Courier New"/>
          <w:sz w:val="24"/>
        </w:rPr>
      </w:pPr>
    </w:p>
    <w:p>
      <w:pPr>
        <w:ind w:hanging="709" w:left="709"/>
        <w:jc w:val="both"/>
        <w:rPr>
          <w:rStyle w:val="C3"/>
          <w:rFonts w:ascii="Courier New" w:hAnsi="Courier New"/>
          <w:sz w:val="24"/>
        </w:rPr>
      </w:pPr>
    </w:p>
    <w:p>
      <w:pPr>
        <w:pStyle w:val="P1"/>
        <w:rPr>
          <w:rStyle w:val="C3"/>
          <w:rFonts w:ascii="Courier New" w:hAnsi="Courier New"/>
        </w:rPr>
      </w:pPr>
      <w:r>
        <w:rPr>
          <w:rStyle w:val="C3"/>
          <w:rFonts w:ascii="Courier New" w:hAnsi="Courier New"/>
        </w:rPr>
        <w:t>C O N S I D E R A N D O</w:t>
      </w:r>
    </w:p>
    <w:p>
      <w:pPr>
        <w:ind w:left="709"/>
        <w:jc w:val="center"/>
        <w:rPr>
          <w:rStyle w:val="C3"/>
          <w:rFonts w:ascii="Courier New" w:hAnsi="Courier New"/>
          <w:sz w:val="24"/>
        </w:rPr>
      </w:pPr>
    </w:p>
    <w:p>
      <w:pPr>
        <w:ind w:left="709"/>
        <w:jc w:val="center"/>
        <w:rPr>
          <w:rStyle w:val="C3"/>
          <w:rFonts w:ascii="Courier New" w:hAnsi="Courier New"/>
          <w:sz w:val="24"/>
        </w:rPr>
      </w:pPr>
    </w:p>
    <w:p>
      <w:pPr>
        <w:pStyle w:val="P6"/>
        <w:rPr>
          <w:rStyle w:val="C3"/>
          <w:rFonts w:ascii="Courier New" w:hAnsi="Courier New"/>
        </w:rPr>
      </w:pPr>
      <w:r>
        <w:rPr>
          <w:rStyle w:val="C3"/>
          <w:rFonts w:ascii="Courier New" w:hAnsi="Courier New"/>
        </w:rPr>
        <w:t>Que se cumplimentan los requisitos exigidos por Ordenanza para ser beneficiaria de lote en donación;</w:t>
      </w:r>
    </w:p>
    <w:p>
      <w:pPr>
        <w:pStyle w:val="P6"/>
        <w:rPr>
          <w:rStyle w:val="C3"/>
          <w:rFonts w:ascii="Courier New" w:hAnsi="Courier New"/>
        </w:rPr>
      </w:pPr>
    </w:p>
    <w:p>
      <w:pPr>
        <w:pStyle w:val="P6"/>
        <w:rPr>
          <w:rStyle w:val="C3"/>
          <w:rFonts w:ascii="Courier New" w:hAnsi="Courier New"/>
        </w:rPr>
      </w:pPr>
      <w:r>
        <w:rPr>
          <w:rStyle w:val="C3"/>
          <w:rFonts w:ascii="Courier New" w:hAnsi="Courier New"/>
        </w:rPr>
        <w:t>Que evaluado el contenido del Expediente por Comisión de Legislación General, la misma emite despacho accediendo a lo solicitado, despacho aprobado por unanimidad en Sesión de fecha 27 de noviembre de 2003.</w:t>
      </w:r>
    </w:p>
    <w:p>
      <w:pPr>
        <w:ind w:left="709"/>
        <w:jc w:val="both"/>
        <w:rPr>
          <w:rStyle w:val="C3"/>
          <w:rFonts w:ascii="Courier New" w:hAnsi="Courier New"/>
          <w:sz w:val="24"/>
        </w:rPr>
      </w:pPr>
    </w:p>
    <w:p>
      <w:pPr>
        <w:ind w:left="709"/>
        <w:jc w:val="both"/>
        <w:rPr>
          <w:rStyle w:val="C3"/>
          <w:rFonts w:ascii="Courier New" w:hAnsi="Courier New"/>
          <w:sz w:val="24"/>
        </w:rPr>
      </w:pPr>
    </w:p>
    <w:p>
      <w:pPr>
        <w:ind w:left="709"/>
        <w:jc w:val="both"/>
        <w:rPr>
          <w:rStyle w:val="C3"/>
          <w:rFonts w:ascii="Courier New" w:hAnsi="Courier New"/>
          <w:sz w:val="24"/>
        </w:rPr>
      </w:pPr>
    </w:p>
    <w:p>
      <w:pPr>
        <w:pStyle w:val="P1"/>
        <w:rPr>
          <w:rStyle w:val="C3"/>
          <w:rFonts w:ascii="Courier New" w:hAnsi="Courier New"/>
        </w:rPr>
      </w:pPr>
      <w:r>
        <w:rPr>
          <w:rStyle w:val="C3"/>
          <w:rFonts w:ascii="Courier New" w:hAnsi="Courier New"/>
        </w:rPr>
        <w:t xml:space="preserve">EL HONORABLE CONCEJO DELIBERANTE DE LA CIUDAD DE </w:t>
      </w:r>
    </w:p>
    <w:p>
      <w:pPr>
        <w:ind w:left="709"/>
        <w:jc w:val="center"/>
        <w:rPr>
          <w:rStyle w:val="C3"/>
          <w:rFonts w:ascii="Courier New" w:hAnsi="Courier New"/>
          <w:b w:val="1"/>
          <w:sz w:val="24"/>
        </w:rPr>
      </w:pPr>
    </w:p>
    <w:p>
      <w:pPr>
        <w:ind w:left="709"/>
        <w:jc w:val="center"/>
        <w:rPr>
          <w:rStyle w:val="C3"/>
          <w:rFonts w:ascii="Courier New" w:hAnsi="Courier New"/>
          <w:b w:val="1"/>
          <w:sz w:val="24"/>
        </w:rPr>
      </w:pPr>
    </w:p>
    <w:p>
      <w:pPr>
        <w:ind w:left="709"/>
        <w:jc w:val="center"/>
        <w:rPr>
          <w:rStyle w:val="C3"/>
          <w:rFonts w:ascii="Courier New" w:hAnsi="Courier New"/>
          <w:b w:val="1"/>
          <w:sz w:val="24"/>
        </w:rPr>
      </w:pPr>
      <w:r>
        <w:rPr>
          <w:rStyle w:val="C3"/>
          <w:rFonts w:ascii="Courier New" w:hAnsi="Courier New"/>
          <w:b w:val="1"/>
          <w:sz w:val="24"/>
        </w:rPr>
        <w:t>ALTA GRACIA SANCIONA CON FUERZA DE ORDENANZA</w:t>
      </w:r>
    </w:p>
    <w:p>
      <w:pPr>
        <w:ind w:left="709"/>
        <w:jc w:val="center"/>
        <w:rPr>
          <w:rStyle w:val="C3"/>
          <w:rFonts w:ascii="Courier New" w:hAnsi="Courier New"/>
          <w:b w:val="1"/>
          <w:sz w:val="24"/>
        </w:rPr>
      </w:pPr>
    </w:p>
    <w:p>
      <w:pPr>
        <w:ind w:left="709"/>
        <w:jc w:val="center"/>
        <w:rPr>
          <w:rStyle w:val="C3"/>
          <w:rFonts w:ascii="Courier New" w:hAnsi="Courier New"/>
          <w:b w:val="1"/>
          <w:sz w:val="24"/>
        </w:rPr>
      </w:pPr>
    </w:p>
    <w:p>
      <w:pPr>
        <w:ind w:hanging="709" w:left="709"/>
        <w:jc w:val="both"/>
        <w:rPr>
          <w:rStyle w:val="C3"/>
          <w:rFonts w:ascii="Courier New" w:hAnsi="Courier New"/>
          <w:sz w:val="24"/>
        </w:rPr>
      </w:pPr>
      <w:r>
        <w:rPr>
          <w:rStyle w:val="C3"/>
          <w:rFonts w:ascii="Courier New" w:hAnsi="Courier New"/>
          <w:b w:val="1"/>
          <w:sz w:val="24"/>
          <w:u w:val="single"/>
        </w:rPr>
        <w:t>Art.1:</w:t>
      </w:r>
      <w:r>
        <w:rPr>
          <w:rStyle w:val="C3"/>
          <w:rFonts w:ascii="Courier New" w:hAnsi="Courier New"/>
          <w:b w:val="1"/>
          <w:sz w:val="24"/>
        </w:rPr>
        <w:t xml:space="preserve"> </w:t>
      </w:r>
      <w:r>
        <w:rPr>
          <w:rStyle w:val="C3"/>
          <w:rFonts w:ascii="Courier New" w:hAnsi="Courier New"/>
          <w:b w:val="1"/>
          <w:sz w:val="24"/>
        </w:rPr>
        <w:t>O</w:t>
      </w:r>
      <w:r>
        <w:rPr>
          <w:rStyle w:val="C3"/>
          <w:rFonts w:ascii="Courier New" w:hAnsi="Courier New"/>
          <w:b w:val="1"/>
          <w:sz w:val="24"/>
        </w:rPr>
        <w:t>T</w:t>
      </w:r>
      <w:r>
        <w:rPr>
          <w:rStyle w:val="C3"/>
          <w:rFonts w:ascii="Courier New" w:hAnsi="Courier New"/>
          <w:b w:val="1"/>
          <w:sz w:val="24"/>
        </w:rPr>
        <w:t>O</w:t>
      </w:r>
      <w:r>
        <w:rPr>
          <w:rStyle w:val="C3"/>
          <w:rFonts w:ascii="Courier New" w:hAnsi="Courier New"/>
          <w:b w:val="1"/>
          <w:sz w:val="24"/>
        </w:rPr>
        <w:t>R</w:t>
      </w:r>
      <w:r>
        <w:rPr>
          <w:rStyle w:val="C3"/>
          <w:rFonts w:ascii="Courier New" w:hAnsi="Courier New"/>
          <w:b w:val="1"/>
          <w:sz w:val="24"/>
        </w:rPr>
        <w:t>G</w:t>
      </w:r>
      <w:r>
        <w:rPr>
          <w:rStyle w:val="C3"/>
          <w:rFonts w:ascii="Courier New" w:hAnsi="Courier New"/>
          <w:b w:val="1"/>
          <w:sz w:val="24"/>
        </w:rPr>
        <w:t>A</w:t>
      </w:r>
      <w:r>
        <w:rPr>
          <w:rStyle w:val="C3"/>
          <w:rFonts w:ascii="Courier New" w:hAnsi="Courier New"/>
          <w:b w:val="1"/>
          <w:sz w:val="24"/>
        </w:rPr>
        <w:t>R</w:t>
      </w:r>
      <w:r>
        <w:rPr>
          <w:rStyle w:val="C3"/>
          <w:rFonts w:ascii="Courier New" w:hAnsi="Courier New"/>
          <w:sz w:val="24"/>
        </w:rPr>
        <w:t xml:space="preserve"> en donación a la Sra. Claudia Alejandra Quintana de Rodríguez, D.N.I. Nº 25.581.436 el lote 14 de la Mz. Of. 14, designación catastral 03-01-290-015, de Barrio Parque San Juan.</w:t>
      </w:r>
    </w:p>
    <w:p>
      <w:pPr>
        <w:ind w:hanging="709" w:left="709"/>
        <w:jc w:val="both"/>
        <w:rPr>
          <w:rStyle w:val="C3"/>
          <w:rFonts w:ascii="Courier New" w:hAnsi="Courier New"/>
          <w:b w:val="1"/>
          <w:sz w:val="24"/>
          <w:u w:val="single"/>
        </w:rPr>
      </w:pPr>
    </w:p>
    <w:p>
      <w:pPr>
        <w:pStyle w:val="P8"/>
        <w:ind w:hanging="709" w:left="709"/>
        <w:jc w:val="both"/>
        <w:rPr>
          <w:rStyle w:val="C3"/>
          <w:sz w:val="24"/>
        </w:rPr>
      </w:pPr>
      <w:r>
        <w:rPr>
          <w:rStyle w:val="C3"/>
          <w:b w:val="1"/>
          <w:sz w:val="24"/>
          <w:u w:val="single"/>
        </w:rPr>
        <w:t>Art.2:</w:t>
      </w:r>
      <w:r>
        <w:rPr>
          <w:rStyle w:val="C3"/>
          <w:sz w:val="24"/>
        </w:rPr>
        <w:t xml:space="preserve"> </w:t>
      </w:r>
      <w:r>
        <w:rPr>
          <w:rStyle w:val="C3"/>
          <w:b w:val="1"/>
          <w:sz w:val="24"/>
        </w:rPr>
        <w:t>L</w:t>
      </w:r>
      <w:r>
        <w:rPr>
          <w:rStyle w:val="C3"/>
          <w:b w:val="1"/>
          <w:sz w:val="24"/>
        </w:rPr>
        <w:t>A</w:t>
      </w:r>
      <w:r>
        <w:rPr>
          <w:rStyle w:val="C3"/>
          <w:sz w:val="24"/>
        </w:rPr>
        <w:t xml:space="preserve"> beneficiaria deberá edificar en un plazo máximo de dieciocho (18) meses a partir de la promulgación de la presente Ordenanza, según el correspondiente plano aprobado por las oficinas técnicas correspondientes.</w:t>
      </w:r>
    </w:p>
    <w:p>
      <w:pPr>
        <w:pStyle w:val="P8"/>
        <w:ind w:hanging="709" w:left="709"/>
        <w:jc w:val="right"/>
        <w:rPr>
          <w:rStyle w:val="C3"/>
          <w:sz w:val="24"/>
        </w:rPr>
      </w:pPr>
    </w:p>
    <w:p>
      <w:pPr>
        <w:pStyle w:val="P8"/>
        <w:ind w:hanging="709" w:left="709"/>
        <w:jc w:val="both"/>
        <w:rPr>
          <w:rStyle w:val="C3"/>
          <w:sz w:val="24"/>
        </w:rPr>
      </w:pPr>
      <w:r>
        <w:rPr>
          <w:rStyle w:val="C3"/>
          <w:b w:val="1"/>
          <w:sz w:val="24"/>
          <w:u w:val="single"/>
        </w:rPr>
        <w:t>Art.3:</w:t>
      </w:r>
      <w:r>
        <w:rPr>
          <w:rStyle w:val="C3"/>
          <w:sz w:val="24"/>
        </w:rPr>
        <w:t xml:space="preserve"> </w:t>
      </w:r>
      <w:r>
        <w:rPr>
          <w:rStyle w:val="C3"/>
          <w:b w:val="1"/>
          <w:sz w:val="24"/>
        </w:rPr>
        <w:t>LA</w:t>
      </w:r>
      <w:r>
        <w:rPr>
          <w:rStyle w:val="C3"/>
          <w:sz w:val="24"/>
        </w:rPr>
        <w:t xml:space="preserve"> donación dispuesta en la presente Ordenanza tiene el carácter de intransferible y caducará  de pleno derecho si no se cumplimenta lo prescripto en el Artículo anterior, debiendo restituir el inmueble a la Municipalidad de Alta Gracia y sólo podrá solicitar prórroga para construir si tiene las tasas al día.</w:t>
      </w:r>
    </w:p>
    <w:p>
      <w:pPr>
        <w:pStyle w:val="P8"/>
        <w:ind w:hanging="709" w:left="709"/>
        <w:jc w:val="right"/>
        <w:rPr>
          <w:rStyle w:val="C3"/>
          <w:sz w:val="24"/>
        </w:rPr>
      </w:pPr>
      <w:r>
        <w:rPr>
          <w:rStyle w:val="C3"/>
          <w:sz w:val="24"/>
        </w:rPr>
        <w:t>...///</w:t>
      </w:r>
    </w:p>
    <w:p>
      <w:pPr>
        <w:pStyle w:val="P8"/>
        <w:ind w:hanging="709" w:left="709"/>
        <w:jc w:val="both"/>
        <w:rPr>
          <w:rStyle w:val="C3"/>
          <w:b w:val="1"/>
          <w:sz w:val="24"/>
          <w:u w:val="single"/>
        </w:rPr>
      </w:pPr>
    </w:p>
    <w:p>
      <w:pPr>
        <w:pStyle w:val="P8"/>
        <w:ind w:hanging="709" w:left="709"/>
        <w:jc w:val="both"/>
        <w:rPr>
          <w:rStyle w:val="C3"/>
          <w:b w:val="1"/>
          <w:sz w:val="24"/>
          <w:u w:val="single"/>
        </w:rPr>
      </w:pPr>
    </w:p>
    <w:p>
      <w:pPr>
        <w:pStyle w:val="P8"/>
        <w:ind w:hanging="709" w:left="709"/>
        <w:jc w:val="both"/>
        <w:rPr>
          <w:rStyle w:val="C3"/>
          <w:b w:val="1"/>
          <w:sz w:val="24"/>
          <w:u w:val="single"/>
        </w:rPr>
      </w:pPr>
    </w:p>
    <w:p>
      <w:pPr>
        <w:pStyle w:val="P8"/>
        <w:ind w:hanging="709" w:left="709"/>
        <w:jc w:val="both"/>
        <w:rPr>
          <w:rStyle w:val="C3"/>
          <w:b w:val="1"/>
          <w:sz w:val="24"/>
          <w:u w:val="single"/>
        </w:rPr>
      </w:pPr>
    </w:p>
    <w:p>
      <w:pPr>
        <w:pStyle w:val="P8"/>
        <w:ind w:hanging="709" w:left="709"/>
        <w:jc w:val="both"/>
        <w:rPr>
          <w:rStyle w:val="C3"/>
          <w:sz w:val="24"/>
        </w:rPr>
      </w:pPr>
      <w:r>
        <w:rPr>
          <w:rStyle w:val="C3"/>
          <w:sz w:val="24"/>
        </w:rPr>
        <w:t>...///2.-</w:t>
      </w:r>
    </w:p>
    <w:p>
      <w:pPr>
        <w:pStyle w:val="P8"/>
        <w:ind w:hanging="709" w:left="709"/>
        <w:jc w:val="both"/>
        <w:rPr>
          <w:rStyle w:val="C3"/>
          <w:b w:val="1"/>
          <w:sz w:val="24"/>
          <w:u w:val="single"/>
        </w:rPr>
      </w:pPr>
    </w:p>
    <w:p>
      <w:pPr>
        <w:pStyle w:val="P8"/>
        <w:ind w:hanging="709" w:left="709"/>
        <w:jc w:val="both"/>
        <w:rPr>
          <w:rStyle w:val="C3"/>
          <w:b w:val="1"/>
          <w:sz w:val="24"/>
          <w:u w:val="single"/>
        </w:rPr>
      </w:pPr>
    </w:p>
    <w:p>
      <w:pPr>
        <w:pStyle w:val="P8"/>
        <w:ind w:hanging="709" w:left="709"/>
        <w:jc w:val="both"/>
        <w:rPr>
          <w:rStyle w:val="C3"/>
          <w:b w:val="1"/>
          <w:sz w:val="24"/>
          <w:u w:val="single"/>
        </w:rPr>
      </w:pPr>
    </w:p>
    <w:p>
      <w:pPr>
        <w:pStyle w:val="P8"/>
        <w:ind w:hanging="709" w:left="709"/>
        <w:jc w:val="both"/>
        <w:rPr>
          <w:rStyle w:val="C3"/>
          <w:sz w:val="24"/>
        </w:rPr>
      </w:pPr>
      <w:r>
        <w:rPr>
          <w:rStyle w:val="C3"/>
          <w:b w:val="1"/>
          <w:sz w:val="24"/>
          <w:u w:val="single"/>
        </w:rPr>
        <w:t>Art.4:</w:t>
      </w:r>
      <w:r>
        <w:rPr>
          <w:rStyle w:val="C3"/>
          <w:sz w:val="24"/>
        </w:rPr>
        <w:t xml:space="preserve"> </w:t>
      </w:r>
      <w:r>
        <w:rPr>
          <w:rStyle w:val="C3"/>
          <w:b w:val="1"/>
          <w:sz w:val="24"/>
        </w:rPr>
        <w:t>LA</w:t>
      </w:r>
      <w:r>
        <w:rPr>
          <w:rStyle w:val="C3"/>
          <w:sz w:val="24"/>
        </w:rPr>
        <w:t xml:space="preserve"> presente donación es con cargo, debiendo la beneficiaria abonar en su totalidad las cargas tributarias que gravan el inmueble, las  contribuciones  por mejoras, desde la fecha de la donación y los gastos de transferencia de dominio. En el supuesto de incumplimiento de esta obligación, la Municipalidad no se hará  cargo en ningún caso de las erogaciones que deba pagar la beneficiaria de acuerdo al presente artículo, debiendo abonar y mantener al día desde la fecha de la presente, la Tasa por Servicios a la Propiedad.</w:t>
      </w:r>
    </w:p>
    <w:p>
      <w:pPr>
        <w:pStyle w:val="P8"/>
        <w:jc w:val="both"/>
        <w:rPr>
          <w:rStyle w:val="C3"/>
          <w:sz w:val="24"/>
        </w:rPr>
      </w:pPr>
    </w:p>
    <w:p>
      <w:pPr>
        <w:pStyle w:val="P8"/>
        <w:ind w:hanging="709" w:left="709"/>
        <w:jc w:val="both"/>
        <w:rPr>
          <w:rStyle w:val="C3"/>
          <w:sz w:val="24"/>
        </w:rPr>
      </w:pPr>
      <w:r>
        <w:rPr>
          <w:rStyle w:val="C3"/>
          <w:b w:val="1"/>
          <w:sz w:val="24"/>
          <w:u w:val="single"/>
        </w:rPr>
        <w:t>Art.5:</w:t>
      </w:r>
      <w:r>
        <w:rPr>
          <w:rStyle w:val="C3"/>
          <w:sz w:val="24"/>
        </w:rPr>
        <w:t xml:space="preserve"> </w:t>
      </w:r>
      <w:r>
        <w:rPr>
          <w:rStyle w:val="C3"/>
          <w:b w:val="1"/>
          <w:sz w:val="24"/>
        </w:rPr>
        <w:t>EL</w:t>
      </w:r>
      <w:r>
        <w:rPr>
          <w:rStyle w:val="C3"/>
          <w:sz w:val="24"/>
        </w:rPr>
        <w:t xml:space="preserve"> lote donado será destinado exclusivamente a vivienda familiar de la solicitante y su grupo familiar siendo intransferible por el término de diez (10) años.</w:t>
      </w:r>
    </w:p>
    <w:p>
      <w:pPr>
        <w:pStyle w:val="P8"/>
        <w:jc w:val="both"/>
        <w:rPr>
          <w:rStyle w:val="C3"/>
          <w:sz w:val="24"/>
        </w:rPr>
      </w:pPr>
    </w:p>
    <w:p>
      <w:pPr>
        <w:pStyle w:val="P8"/>
        <w:ind w:hanging="709" w:left="709"/>
        <w:jc w:val="both"/>
        <w:rPr>
          <w:rStyle w:val="C3"/>
          <w:sz w:val="24"/>
        </w:rPr>
      </w:pPr>
      <w:r>
        <w:rPr>
          <w:rStyle w:val="C3"/>
          <w:b w:val="1"/>
          <w:sz w:val="24"/>
          <w:u w:val="single"/>
        </w:rPr>
        <w:t>Art.6:</w:t>
      </w:r>
      <w:r>
        <w:rPr>
          <w:rStyle w:val="C3"/>
          <w:sz w:val="24"/>
        </w:rPr>
        <w:t xml:space="preserve"> </w:t>
      </w:r>
      <w:r>
        <w:rPr>
          <w:rStyle w:val="C3"/>
          <w:b w:val="1"/>
          <w:sz w:val="24"/>
        </w:rPr>
        <w:t>LA</w:t>
      </w:r>
      <w:r>
        <w:rPr>
          <w:rStyle w:val="C3"/>
          <w:sz w:val="24"/>
        </w:rPr>
        <w:t xml:space="preserve"> presente Ordenanza  será  título hábil de posesión hasta tanto el Departamento Ejecutivo otorgue la correspondiente escritura traslativa de dominio.</w:t>
      </w:r>
    </w:p>
    <w:p>
      <w:pPr>
        <w:pStyle w:val="P8"/>
        <w:ind w:hanging="709" w:left="709"/>
        <w:jc w:val="both"/>
        <w:rPr>
          <w:rStyle w:val="C3"/>
          <w:b w:val="1"/>
          <w:sz w:val="24"/>
          <w:u w:val="single"/>
        </w:rPr>
      </w:pPr>
    </w:p>
    <w:p>
      <w:pPr>
        <w:pStyle w:val="P8"/>
        <w:ind w:hanging="709" w:left="709"/>
        <w:jc w:val="both"/>
        <w:rPr>
          <w:rStyle w:val="C3"/>
          <w:sz w:val="24"/>
        </w:rPr>
      </w:pPr>
      <w:r>
        <w:rPr>
          <w:rStyle w:val="C3"/>
          <w:b w:val="1"/>
          <w:sz w:val="24"/>
          <w:u w:val="single"/>
        </w:rPr>
        <w:t>Art.7:</w:t>
      </w:r>
      <w:r>
        <w:rPr>
          <w:rStyle w:val="C3"/>
          <w:sz w:val="24"/>
        </w:rPr>
        <w:t xml:space="preserve"> </w:t>
      </w:r>
      <w:r>
        <w:rPr>
          <w:rStyle w:val="C3"/>
          <w:b w:val="1"/>
          <w:sz w:val="24"/>
        </w:rPr>
        <w:t xml:space="preserve">AUTORIZASE </w:t>
      </w:r>
      <w:r>
        <w:rPr>
          <w:rStyle w:val="C3"/>
          <w:sz w:val="24"/>
        </w:rPr>
        <w:t>al Departamento Ejecutivo a suscribir la correspondiente escritura traslativa de dominio, la que se otorgará  de acuerdo con el dictamen final que a ese efecto emita el área correspondiente, previa supervisión, constatación e informe suministrado por el Departamento Municipal de la Vivienda y previa verificación de que posee las tasas al día, siendo los gastos a cargo de la beneficiaria.</w:t>
      </w:r>
    </w:p>
    <w:p>
      <w:pPr>
        <w:ind w:hanging="709" w:left="709"/>
        <w:jc w:val="both"/>
        <w:rPr>
          <w:rStyle w:val="C3"/>
          <w:rFonts w:ascii="Courier New" w:hAnsi="Courier New"/>
          <w:b w:val="1"/>
          <w:sz w:val="24"/>
          <w:u w:val="single"/>
        </w:rPr>
      </w:pPr>
    </w:p>
    <w:p>
      <w:pPr>
        <w:ind w:hanging="709" w:left="709"/>
        <w:jc w:val="both"/>
        <w:rPr>
          <w:rStyle w:val="C3"/>
          <w:rFonts w:ascii="Courier New" w:hAnsi="Courier New"/>
          <w:sz w:val="24"/>
        </w:rPr>
      </w:pPr>
      <w:r>
        <w:rPr>
          <w:rStyle w:val="C3"/>
          <w:rFonts w:ascii="Courier New" w:hAnsi="Courier New"/>
          <w:b w:val="1"/>
          <w:sz w:val="24"/>
          <w:u w:val="single"/>
        </w:rPr>
        <w:t>Art.</w:t>
      </w:r>
      <w:r>
        <w:rPr>
          <w:rStyle w:val="C3"/>
          <w:rFonts w:ascii="Courier New" w:hAnsi="Courier New"/>
          <w:b w:val="1"/>
          <w:sz w:val="24"/>
          <w:u w:val="single"/>
        </w:rPr>
        <w:t>8</w:t>
      </w:r>
      <w:r>
        <w:rPr>
          <w:rStyle w:val="C3"/>
          <w:rFonts w:ascii="Courier New" w:hAnsi="Courier New"/>
          <w:b w:val="1"/>
          <w:sz w:val="24"/>
          <w:u w:val="single"/>
        </w:rPr>
        <w:t>:</w:t>
      </w:r>
      <w:r>
        <w:rPr>
          <w:rStyle w:val="C3"/>
          <w:rFonts w:ascii="Courier New" w:hAnsi="Courier New"/>
          <w:b w:val="1"/>
          <w:sz w:val="24"/>
        </w:rPr>
        <w:t xml:space="preserve"> COMUNÍQUESE,</w:t>
      </w:r>
      <w:r>
        <w:rPr>
          <w:rStyle w:val="C3"/>
          <w:rFonts w:ascii="Courier New" w:hAnsi="Courier New"/>
          <w:sz w:val="24"/>
        </w:rPr>
        <w:t xml:space="preserve"> publíquese, transcríbase al Libro de Ordenanzas y archívese.</w:t>
      </w:r>
    </w:p>
    <w:p>
      <w:pPr>
        <w:ind w:hanging="709" w:left="709"/>
        <w:jc w:val="both"/>
        <w:rPr>
          <w:rStyle w:val="C3"/>
          <w:rFonts w:ascii="Courier New" w:hAnsi="Courier New"/>
          <w:b w:val="1"/>
          <w:sz w:val="24"/>
          <w:u w:val="single"/>
        </w:rPr>
      </w:pPr>
    </w:p>
    <w:p>
      <w:pPr>
        <w:ind w:hanging="709" w:left="709"/>
        <w:jc w:val="both"/>
        <w:rPr>
          <w:rStyle w:val="C3"/>
          <w:rFonts w:ascii="Courier New" w:hAnsi="Courier New"/>
          <w:sz w:val="24"/>
        </w:rPr>
      </w:pPr>
    </w:p>
    <w:p>
      <w:pPr>
        <w:pStyle w:val="P7"/>
        <w:rPr>
          <w:rStyle w:val="C3"/>
          <w:rFonts w:ascii="Courier New" w:hAnsi="Courier New"/>
        </w:rPr>
      </w:pPr>
    </w:p>
    <w:p>
      <w:pPr>
        <w:pStyle w:val="P7"/>
        <w:rPr>
          <w:rStyle w:val="C3"/>
          <w:rFonts w:ascii="Courier New" w:hAnsi="Courier New"/>
        </w:rPr>
      </w:pPr>
    </w:p>
    <w:p>
      <w:pPr>
        <w:pStyle w:val="P7"/>
        <w:rPr>
          <w:rStyle w:val="C3"/>
          <w:rFonts w:ascii="Courier New" w:hAnsi="Courier New"/>
        </w:rPr>
      </w:pPr>
      <w:r>
        <w:rPr>
          <w:rStyle w:val="C3"/>
          <w:rFonts w:ascii="Courier New" w:hAnsi="Courier New"/>
        </w:rPr>
        <w:t>DADA EN LA SALA DE SESIONES DEL HONORABLE CONCEJO DELIBERANTE A VEINTISIETE DIAS DEL MES DE NOVIEMBRE DEL AÑO DOS MIL TRES.</w:t>
      </w:r>
    </w:p>
    <w:sectPr>
      <w:type w:val="nextPage"/>
      <w:pgMar w:left="1701" w:right="1701" w:top="1417" w:bottom="1417" w:header="708" w:footer="708" w:gutter="0"/>
    </w:sectPr>
  </w:body>
</w:document>
</file>

<file path=word/numbering.xml><?xml version="1.0" encoding="utf-8"?>
<w:numbering xmlns:w="http://schemas.openxmlformats.org/wordprocessingml/2006/main"/>
</file>

<file path=word/settings.xml><?xml version="1.0" encoding="utf-8"?>
<w:settings xmlns:w="http://schemas.openxmlformats.org/wordprocessingml/2006/main">
  <w:displayBackgroundShape w:val="0"/>
  <w:documentProtection w:enforcement="1"/>
  <w:defaultTabStop w:val="720"/>
  <w:autoHyphenation w:val="0"/>
  <w:evenAndOddHeaders w:val="0"/>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w:docDefaults>
    <w:rPrDefault>
      <w:rPr>
        <w:rFonts w:ascii="Times New Roman" w:hAnsi="Times New Roman"/>
        <w:b w:val="0"/>
        <w:i w:val="0"/>
        <w:caps w:val="0"/>
        <w:strike w:val="0"/>
        <w:noProof w:val="0"/>
        <w:vanish w:val="0"/>
        <w:color w:val="auto"/>
        <w:sz w:val="22"/>
        <w:u w:val="none"/>
        <w:shd w:val="clear" w:color="auto" w:fill="auto"/>
        <w:vertAlign w:val="baseline"/>
        <w:lang/>
      </w:rPr>
    </w:rPrDefault>
    <w:pPrDefault>
      <w:pPr>
        <w:keepNext w:val="0"/>
        <w:keepLines w:val="0"/>
        <w:widowControl w:val="1"/>
        <w:suppressLineNumbers w:val="0"/>
        <w:shd w:val="clear" w:fill="auto"/>
        <w:suppressAutoHyphens w:val="0"/>
        <w:spacing w:lineRule="auto" w:line="240" w:before="0" w:after="0" w:beforeAutospacing="0" w:afterAutospacing="0"/>
        <w:ind w:firstLine="0" w:left="0" w:right="0"/>
        <w:contextualSpacing w:val="0"/>
        <w:jc w:val="left"/>
      </w:pPr>
    </w:pPrDefault>
  </w:docDefaults>
  <w:style w:type="paragraph" w:styleId="P0" w:default="1">
    <w:name w:val="Normal"/>
    <w:next w:val="P0"/>
    <w:pPr/>
    <w:rPr>
      <w:sz w:val="20"/>
    </w:rPr>
  </w:style>
  <w:style w:type="paragraph" w:styleId="P1">
    <w:name w:val="Título 1"/>
    <w:basedOn w:val="P0"/>
    <w:next w:val="P0"/>
    <w:pPr>
      <w:keepNext w:val="1"/>
      <w:ind w:left="709"/>
      <w:jc w:val="center"/>
      <w:outlineLvl w:val="0"/>
    </w:pPr>
    <w:rPr>
      <w:b w:val="1"/>
      <w:sz w:val="24"/>
    </w:rPr>
  </w:style>
  <w:style w:type="paragraph" w:styleId="P2">
    <w:name w:val="Encabezado"/>
    <w:basedOn w:val="P0"/>
    <w:next w:val="P2"/>
    <w:pPr>
      <w:tabs>
        <w:tab w:val="center" w:pos="4419" w:leader="none"/>
        <w:tab w:val="right" w:pos="8838" w:leader="none"/>
      </w:tabs>
    </w:pPr>
    <w:rPr/>
  </w:style>
  <w:style w:type="paragraph" w:styleId="P3">
    <w:name w:val="Pie de página"/>
    <w:basedOn w:val="P0"/>
    <w:next w:val="P3"/>
    <w:pPr>
      <w:tabs>
        <w:tab w:val="center" w:pos="4419" w:leader="none"/>
        <w:tab w:val="right" w:pos="8838" w:leader="none"/>
      </w:tabs>
    </w:pPr>
    <w:rPr/>
  </w:style>
  <w:style w:type="paragraph" w:styleId="P4">
    <w:name w:val="Título"/>
    <w:basedOn w:val="P0"/>
    <w:next w:val="P4"/>
    <w:pPr>
      <w:jc w:val="center"/>
    </w:pPr>
    <w:rPr>
      <w:b w:val="1"/>
      <w:sz w:val="24"/>
      <w:u w:val="single"/>
    </w:rPr>
  </w:style>
  <w:style w:type="paragraph" w:styleId="P5">
    <w:name w:val="Sangría de t. independiente"/>
    <w:basedOn w:val="P0"/>
    <w:next w:val="P5"/>
    <w:pPr>
      <w:ind w:hanging="709" w:left="709"/>
      <w:jc w:val="both"/>
    </w:pPr>
    <w:rPr>
      <w:sz w:val="24"/>
    </w:rPr>
  </w:style>
  <w:style w:type="paragraph" w:styleId="P6">
    <w:name w:val="Sangría 2 de t. independiente"/>
    <w:basedOn w:val="P0"/>
    <w:next w:val="P6"/>
    <w:pPr>
      <w:ind w:left="709"/>
      <w:jc w:val="both"/>
    </w:pPr>
    <w:rPr>
      <w:sz w:val="24"/>
    </w:rPr>
  </w:style>
  <w:style w:type="paragraph" w:styleId="P7">
    <w:name w:val="Texto independiente"/>
    <w:basedOn w:val="P0"/>
    <w:next w:val="P7"/>
    <w:pPr>
      <w:jc w:val="both"/>
    </w:pPr>
    <w:rPr>
      <w:b w:val="1"/>
      <w:sz w:val="24"/>
    </w:rPr>
  </w:style>
  <w:style w:type="paragraph" w:styleId="P8">
    <w:name w:val="Texto sin formato"/>
    <w:basedOn w:val="P0"/>
    <w:next w:val="P8"/>
    <w:pPr/>
    <w:rPr>
      <w:rFonts w:ascii="Courier New" w:hAnsi="Courier New"/>
    </w:rPr>
  </w:style>
  <w:style w:type="character" w:styleId="C0" w:default="1">
    <w:name w:val="Default Paragraph Font"/>
    <w:semiHidden/>
    <w:rPr/>
  </w:style>
  <w:style w:type="character" w:styleId="C1">
    <w:name w:val="Line Number"/>
    <w:basedOn w:val="C0"/>
    <w:semiHidden/>
    <w:rPr/>
  </w:style>
  <w:style w:type="character" w:styleId="C2">
    <w:name w:val="Hyperlink"/>
    <w:rPr>
      <w:color w:val="0000FF"/>
      <w:u w:val="single"/>
    </w:rPr>
  </w:style>
  <w:style w:type="character" w:styleId="C3">
    <w:name w:val="Fuente de párrafo predeter."/>
    <w:rPr/>
  </w:style>
  <w:style w:type="table" w:styleId="T0" w:default="1">
    <w:name w:val="Normal Table"/>
    <w:tblPr>
      <w:tblCellMar>
        <w:top w:w="0" w:type="dxa"/>
        <w:left w:w="108" w:type="dxa"/>
        <w:bottom w:w="0" w:type="dxa"/>
        <w:right w:w="108" w:type="dxa"/>
      </w:tblCellMar>
    </w:tblPr>
    <w:trPr/>
    <w:tcPr/>
  </w:style>
  <w:style w:type="table" w:styleId="T1">
    <w:name w:val="Table Simple 1"/>
    <w:basedOn w:val="T0"/>
    <w:tblPr>
      <w:tblBorders>
        <w:top w:val="single" w:sz="4" w:space="0" w:shadow="0" w:frame="0" w:color="000000"/>
        <w:left w:val="single" w:sz="4" w:space="0" w:shadow="0" w:frame="0" w:color="000000"/>
        <w:bottom w:val="single" w:sz="4" w:space="0" w:shadow="0" w:frame="0" w:color="000000"/>
        <w:right w:val="single" w:sz="4" w:space="0" w:shadow="0" w:frame="0" w:color="000000"/>
        <w:insideH w:val="single" w:sz="4" w:space="0" w:shadow="0" w:frame="0" w:color="000000"/>
        <w:insideV w:val="single" w:sz="4" w:space="0" w:shadow="0" w:frame="0" w:color="000000"/>
      </w:tblBorders>
      <w:tblCellMar>
        <w:top w:w="0" w:type="dxa"/>
        <w:left w:w="108" w:type="dxa"/>
        <w:bottom w:w="0" w:type="dxa"/>
        <w:right w:w="108" w:type="dxa"/>
      </w:tblCellMar>
    </w:tblPr>
    <w:trPr/>
    <w:tcPr/>
  </w:style>
</w:styles>
</file>

<file path=word/_rels/document.xml.rels>&#65279;<?xml version="1.0" encoding="utf-8"?><Relationships xmlns="http://schemas.openxmlformats.org/package/2006/relationships"><Relationship Id="RelStyle1" Type="http://schemas.openxmlformats.org/officeDocument/2006/relationships/styles" Target="styles.xml" /><Relationship Id="RelNum1" Type="http://schemas.openxmlformats.org/officeDocument/2006/relationships/numbering" Target="numbering.xml" /><Relationship Id="RelSettings1" Type="http://schemas.openxmlformats.org/officeDocument/2006/relationships/settings" Target="settings.xml" /><Relationship Id="RelTheme1"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a:dk1>
      <a:lt1>
        <a:sysClr val="window"/>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core.xml><?xml version="1.0" encoding="utf-8"?>
<cp:coreProperties xmlns:dc="http://purl.org/dc/elements/1.1/" xmlns:dcterms="http://purl.org/dc/terms/" xmlns:dcmitype="http://purl.org/dc/dcmitype/" xmlns:xsi="http://www.w3.org/2001/XMLSchema-instance" xmlns:cp="http://schemas.openxmlformats.org/package/2006/metadata/core-properties">
  <dc:creator>M.A.G.</dc:creator>
  <dcterms:created xsi:type="dcterms:W3CDTF">2004-01-21T15:00:00Z</dcterms:created>
  <cp:lastModifiedBy>Ethan Puglia</cp:lastModifiedBy>
  <cp:lastPrinted>2004-01-21T14:58:00Z</cp:lastPrinted>
  <dcterms:modified xsi:type="dcterms:W3CDTF">2019-03-28T17:34:01Z</dcterms:modified>
  <cp:revision>4</cp:revision>
  <dc:title>ORDENANZA  Nº  5354</dc:title>
</cp:coreProperties>
</file>