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E277C50" Type="http://schemas.openxmlformats.org/officeDocument/2006/relationships/officeDocument" Target="/word/document.xml" /><Relationship Id="coreR4E277C5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6769</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p>
    <w:p>
      <w:pPr>
        <w:pStyle w:val="P8"/>
        <w:ind w:hanging="709" w:left="709"/>
        <w:jc w:val="both"/>
        <w:rPr>
          <w:rStyle w:val="C3"/>
          <w:sz w:val="24"/>
        </w:rPr>
      </w:pPr>
      <w:r>
        <w:rPr>
          <w:rStyle w:val="C3"/>
          <w:sz w:val="24"/>
        </w:rPr>
        <w:t>Visto: El Expediente Nº 470/I/02 iniciado con nota de los ex - habitantes de lo que fuera el Hotel Serrano, solicitando lotes en donación;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las Sras. Norma Rossana Reartes y Esmeralda Santillán, han cumplimentado las condiciones para ser beneficiarias de lotes en donación;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Legislación General, la misma emite despacho accediendo a lo solicitado, despacho aprobado por unanimidad en Sesión de fecha 27 de noviembre de 2003.</w:t>
      </w:r>
    </w:p>
    <w:p>
      <w:pPr>
        <w:ind w:left="709"/>
        <w:jc w:val="both"/>
        <w:rPr>
          <w:rStyle w:val="C3"/>
          <w:rFonts w:ascii="Courier New" w:hAnsi="Courier New"/>
          <w:sz w:val="24"/>
        </w:rPr>
      </w:pP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O</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en donación a la Sra. Norma Rossana Reartes, D.N.I. Nº 24.597.535 el lote 14 de la Mz. Of. 14, designación catastral 03-01-290-013 lote 14, de Barrio Parque San Juan.</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w:t>
      </w:r>
      <w:r>
        <w:rPr>
          <w:rStyle w:val="C3"/>
          <w:rFonts w:ascii="Courier New" w:hAnsi="Courier New"/>
          <w:b w:val="1"/>
          <w:sz w:val="24"/>
        </w:rPr>
        <w:t>O</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en donación a la Sra. Esmeralda Santillán, D.N.I. Nº 11.973.194 el lote 1 de la Mz. Of. 8, designación catastral 03-01-313-016, de Barrio Parque San Juan.</w:t>
      </w:r>
    </w:p>
    <w:p>
      <w:pPr>
        <w:ind w:hanging="709" w:left="709"/>
        <w:jc w:val="both"/>
        <w:rPr>
          <w:rStyle w:val="C3"/>
          <w:rFonts w:ascii="Courier New" w:hAnsi="Courier New"/>
          <w:sz w:val="24"/>
        </w:rPr>
      </w:pPr>
    </w:p>
    <w:p>
      <w:pPr>
        <w:pStyle w:val="P8"/>
        <w:ind w:hanging="709" w:left="709"/>
        <w:jc w:val="both"/>
        <w:rPr>
          <w:rStyle w:val="C3"/>
          <w:sz w:val="24"/>
        </w:rPr>
      </w:pPr>
      <w:r>
        <w:rPr>
          <w:rStyle w:val="C3"/>
          <w:b w:val="1"/>
          <w:sz w:val="24"/>
          <w:u w:val="single"/>
        </w:rPr>
        <w:t>Art.</w:t>
      </w:r>
      <w:r>
        <w:rPr>
          <w:rStyle w:val="C3"/>
          <w:b w:val="1"/>
          <w:sz w:val="24"/>
          <w:u w:val="single"/>
        </w:rPr>
        <w:t>3</w:t>
      </w:r>
      <w:r>
        <w:rPr>
          <w:rStyle w:val="C3"/>
          <w:b w:val="1"/>
          <w:sz w:val="24"/>
          <w:u w:val="single"/>
        </w:rPr>
        <w:t>:</w:t>
      </w:r>
      <w:r>
        <w:rPr>
          <w:rStyle w:val="C3"/>
          <w:sz w:val="24"/>
        </w:rPr>
        <w:t xml:space="preserve"> </w:t>
      </w:r>
      <w:r>
        <w:rPr>
          <w:rStyle w:val="C3"/>
          <w:b w:val="1"/>
          <w:sz w:val="24"/>
        </w:rPr>
        <w:t>L</w:t>
      </w:r>
      <w:r>
        <w:rPr>
          <w:rStyle w:val="C3"/>
          <w:b w:val="1"/>
          <w:sz w:val="24"/>
        </w:rPr>
        <w:t>A</w:t>
      </w:r>
      <w:r>
        <w:rPr>
          <w:rStyle w:val="C3"/>
          <w:b w:val="1"/>
          <w:sz w:val="24"/>
        </w:rPr>
        <w:t>S</w:t>
      </w:r>
      <w:r>
        <w:rPr>
          <w:rStyle w:val="C3"/>
          <w:sz w:val="24"/>
        </w:rPr>
        <w:t xml:space="preserve"> beneficiarias deberán edificar en un plazo máximo de dieciocho (18) meses a partir de la promulgación de la presente Ordenanza, según el correspondiente plano aprobado por las oficinas técnicas correspondientes.</w:t>
      </w:r>
    </w:p>
    <w:p>
      <w:pPr>
        <w:pStyle w:val="P8"/>
        <w:ind w:hanging="709" w:left="709"/>
        <w:jc w:val="right"/>
        <w:rPr>
          <w:rStyle w:val="C3"/>
          <w:sz w:val="24"/>
        </w:rPr>
      </w:pPr>
      <w:r>
        <w:rPr>
          <w:rStyle w:val="C3"/>
          <w:sz w:val="24"/>
        </w:rPr>
        <w:t>...///</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p>
    <w:p>
      <w:pPr>
        <w:pStyle w:val="P8"/>
        <w:ind w:hanging="709" w:left="709"/>
        <w:jc w:val="both"/>
        <w:rPr>
          <w:rStyle w:val="C3"/>
          <w:sz w:val="24"/>
        </w:rPr>
      </w:pPr>
    </w:p>
    <w:p>
      <w:pPr>
        <w:pStyle w:val="P8"/>
        <w:ind w:hanging="709" w:left="709"/>
        <w:jc w:val="both"/>
        <w:rPr>
          <w:rStyle w:val="C3"/>
          <w:sz w:val="24"/>
        </w:rPr>
      </w:pPr>
      <w:r>
        <w:rPr>
          <w:rStyle w:val="C3"/>
          <w:sz w:val="24"/>
        </w:rPr>
        <w:t>...///2.-</w:t>
      </w: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Art.4</w:t>
      </w:r>
      <w:r>
        <w:rPr>
          <w:rStyle w:val="C3"/>
          <w:b w:val="1"/>
          <w:sz w:val="24"/>
          <w:u w:val="single"/>
        </w:rPr>
        <w:t>:</w:t>
      </w:r>
      <w:r>
        <w:rPr>
          <w:rStyle w:val="C3"/>
          <w:sz w:val="24"/>
        </w:rPr>
        <w:t xml:space="preserve"> </w:t>
      </w:r>
      <w:r>
        <w:rPr>
          <w:rStyle w:val="C3"/>
          <w:b w:val="1"/>
          <w:sz w:val="24"/>
        </w:rPr>
        <w:t>LA</w:t>
      </w:r>
      <w:r>
        <w:rPr>
          <w:rStyle w:val="C3"/>
          <w:b w:val="1"/>
          <w:sz w:val="24"/>
        </w:rPr>
        <w:t>S</w:t>
      </w:r>
      <w:r>
        <w:rPr>
          <w:rStyle w:val="C3"/>
          <w:sz w:val="24"/>
        </w:rPr>
        <w:t xml:space="preserve"> donaciones dispuestas en la presente Ordenanza tienen el carácter de intransferibles y caducarán de pleno derecho si no se cumplimenta lo prescripto en el Artículo anterior, debiendo restituir los inmuebles a la Municipalidad de Alta Gracia y sólo podrán solicitar prórroga para construir si tienen las tasas al día.</w:t>
      </w:r>
    </w:p>
    <w:p>
      <w:pPr>
        <w:pStyle w:val="P8"/>
        <w:ind w:hanging="709" w:left="709"/>
        <w:jc w:val="right"/>
        <w:rPr>
          <w:rStyle w:val="C3"/>
          <w:sz w:val="24"/>
        </w:rPr>
      </w:pPr>
    </w:p>
    <w:p>
      <w:pPr>
        <w:pStyle w:val="P8"/>
        <w:ind w:hanging="709" w:left="709"/>
        <w:jc w:val="both"/>
        <w:rPr>
          <w:rStyle w:val="C3"/>
          <w:sz w:val="24"/>
        </w:rPr>
      </w:pPr>
      <w:r>
        <w:rPr>
          <w:rStyle w:val="C3"/>
          <w:b w:val="1"/>
          <w:sz w:val="24"/>
          <w:u w:val="single"/>
        </w:rPr>
        <w:t>Art.5</w:t>
      </w:r>
      <w:r>
        <w:rPr>
          <w:rStyle w:val="C3"/>
          <w:b w:val="1"/>
          <w:sz w:val="24"/>
          <w:u w:val="single"/>
        </w:rPr>
        <w:t>:</w:t>
      </w:r>
      <w:r>
        <w:rPr>
          <w:rStyle w:val="C3"/>
          <w:sz w:val="24"/>
        </w:rPr>
        <w:t xml:space="preserve"> </w:t>
      </w:r>
      <w:r>
        <w:rPr>
          <w:rStyle w:val="C3"/>
          <w:b w:val="1"/>
          <w:sz w:val="24"/>
        </w:rPr>
        <w:t>LA</w:t>
      </w:r>
      <w:r>
        <w:rPr>
          <w:rStyle w:val="C3"/>
          <w:b w:val="1"/>
          <w:sz w:val="24"/>
        </w:rPr>
        <w:t>S</w:t>
      </w:r>
      <w:r>
        <w:rPr>
          <w:rStyle w:val="C3"/>
          <w:sz w:val="24"/>
        </w:rPr>
        <w:t xml:space="preserve"> presentes donaciones son con cargo, debiendo las beneficiarias abonar en su totalidad las cargas tributarias que gravan los inmuebles, las  contribuciones  por mejoras, desde la fecha de la donación y los gastos de transferencias de dominio. En el supuesto de incumplimiento de esta obligación, la Municipalidad no se hará  cargo en ningún caso de las erogaciones que deban pagar las beneficiarias de acuerdo al presente artículo, debiendo abonar y mantener al día desde la fecha de la presente, la Tasa por Servicios a la Propiedad.</w:t>
      </w:r>
    </w:p>
    <w:p>
      <w:pPr>
        <w:pStyle w:val="P8"/>
        <w:jc w:val="both"/>
        <w:rPr>
          <w:rStyle w:val="C3"/>
          <w:sz w:val="24"/>
        </w:rPr>
      </w:pPr>
    </w:p>
    <w:p>
      <w:pPr>
        <w:pStyle w:val="P8"/>
        <w:ind w:hanging="709" w:left="709"/>
        <w:jc w:val="both"/>
        <w:rPr>
          <w:rStyle w:val="C3"/>
          <w:sz w:val="24"/>
        </w:rPr>
      </w:pPr>
      <w:r>
        <w:rPr>
          <w:rStyle w:val="C3"/>
          <w:b w:val="1"/>
          <w:sz w:val="24"/>
          <w:u w:val="single"/>
        </w:rPr>
        <w:t>Art.</w:t>
      </w:r>
      <w:r>
        <w:rPr>
          <w:rStyle w:val="C3"/>
          <w:b w:val="1"/>
          <w:sz w:val="24"/>
          <w:u w:val="single"/>
        </w:rPr>
        <w:t>6</w:t>
      </w:r>
      <w:r>
        <w:rPr>
          <w:rStyle w:val="C3"/>
          <w:b w:val="1"/>
          <w:sz w:val="24"/>
          <w:u w:val="single"/>
        </w:rPr>
        <w:t>:</w:t>
      </w:r>
      <w:r>
        <w:rPr>
          <w:rStyle w:val="C3"/>
          <w:sz w:val="24"/>
        </w:rPr>
        <w:t xml:space="preserve"> </w:t>
      </w:r>
      <w:r>
        <w:rPr>
          <w:rStyle w:val="C3"/>
          <w:b w:val="1"/>
          <w:sz w:val="24"/>
        </w:rPr>
        <w:t>L</w:t>
      </w:r>
      <w:r>
        <w:rPr>
          <w:rStyle w:val="C3"/>
          <w:b w:val="1"/>
          <w:sz w:val="24"/>
        </w:rPr>
        <w:t>OS</w:t>
      </w:r>
      <w:r>
        <w:rPr>
          <w:rStyle w:val="C3"/>
          <w:sz w:val="24"/>
        </w:rPr>
        <w:t xml:space="preserve"> lotes donados serán destinados exclusivamente a vivienda familiar de las solicitantes y su grupo familiar siendo intransferibles por el término de diez (10) años.</w:t>
      </w:r>
    </w:p>
    <w:p>
      <w:pPr>
        <w:pStyle w:val="P8"/>
        <w:jc w:val="both"/>
        <w:rPr>
          <w:rStyle w:val="C3"/>
          <w:sz w:val="24"/>
        </w:rPr>
      </w:pPr>
    </w:p>
    <w:p>
      <w:pPr>
        <w:pStyle w:val="P8"/>
        <w:ind w:hanging="709" w:left="709"/>
        <w:jc w:val="both"/>
        <w:rPr>
          <w:rStyle w:val="C3"/>
          <w:sz w:val="24"/>
        </w:rPr>
      </w:pPr>
      <w:r>
        <w:rPr>
          <w:rStyle w:val="C3"/>
          <w:b w:val="1"/>
          <w:sz w:val="24"/>
          <w:u w:val="single"/>
        </w:rPr>
        <w:t>Art.7</w:t>
      </w:r>
      <w:r>
        <w:rPr>
          <w:rStyle w:val="C3"/>
          <w:b w:val="1"/>
          <w:sz w:val="24"/>
          <w:u w:val="single"/>
        </w:rPr>
        <w:t>:</w:t>
      </w:r>
      <w:r>
        <w:rPr>
          <w:rStyle w:val="C3"/>
          <w:sz w:val="24"/>
        </w:rPr>
        <w:t xml:space="preserve"> </w:t>
      </w:r>
      <w:r>
        <w:rPr>
          <w:rStyle w:val="C3"/>
          <w:b w:val="1"/>
          <w:sz w:val="24"/>
        </w:rPr>
        <w:t>LA</w:t>
      </w:r>
      <w:r>
        <w:rPr>
          <w:rStyle w:val="C3"/>
          <w:sz w:val="24"/>
        </w:rPr>
        <w:t xml:space="preserve"> presente Ordenanza  será  título hábil de posesión hasta tanto el Departamento Ejecutivo otorgue las correspondientes escrituras traslativas de dominio.</w:t>
      </w: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w:t>
      </w:r>
      <w:r>
        <w:rPr>
          <w:rStyle w:val="C3"/>
          <w:b w:val="1"/>
          <w:sz w:val="24"/>
          <w:u w:val="single"/>
        </w:rPr>
        <w:t>8</w:t>
      </w:r>
      <w:r>
        <w:rPr>
          <w:rStyle w:val="C3"/>
          <w:b w:val="1"/>
          <w:sz w:val="24"/>
          <w:u w:val="single"/>
        </w:rPr>
        <w:t>:</w:t>
      </w:r>
      <w:r>
        <w:rPr>
          <w:rStyle w:val="C3"/>
          <w:sz w:val="24"/>
        </w:rPr>
        <w:t xml:space="preserve"> </w:t>
      </w:r>
      <w:r>
        <w:rPr>
          <w:rStyle w:val="C3"/>
          <w:b w:val="1"/>
          <w:sz w:val="24"/>
        </w:rPr>
        <w:t xml:space="preserve">AUTORIZASE </w:t>
      </w:r>
      <w:r>
        <w:rPr>
          <w:rStyle w:val="C3"/>
          <w:sz w:val="24"/>
        </w:rPr>
        <w:t>al Departamento Ejecutivo a suscribir las correspondientes escrituras traslativas de dominio, las que se otorgarán de acuerdo con el dictamen final que a ese efecto emita el área correspondiente, previa supervisión, constatación e informe suministrado por el Departamento Municipal de la Vivienda y previa verificación de que posee las tasas al día, siendo los gastos a cargo de las beneficiarias.</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...///3.-</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9</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VEINTISIETE DIAS DEL MES DE NOVIEMBRE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2004-01-21T15:52:00Z</dcterms:created>
  <cp:lastModifiedBy>Ethan Puglia</cp:lastModifiedBy>
  <cp:lastPrinted>2005-01-26T14:32:00Z</cp:lastPrinted>
  <dcterms:modified xsi:type="dcterms:W3CDTF">2019-03-28T17:34:01Z</dcterms:modified>
  <cp:revision>10</cp:revision>
  <dc:title>ORDENANZA  Nº  5354</dc:title>
</cp:coreProperties>
</file>