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BE8E65" Type="http://schemas.openxmlformats.org/officeDocument/2006/relationships/officeDocument" Target="/word/document.xml" /><Relationship Id="coreR32BE8E6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rPr>
      </w:pPr>
    </w:p>
    <w:p>
      <w:pPr>
        <w:pStyle w:val="P4"/>
        <w:rPr>
          <w:rStyle w:val="C3"/>
          <w:rFonts w:ascii="Courier New" w:hAnsi="Courier New"/>
        </w:rPr>
      </w:pPr>
      <w:r>
        <w:rPr>
          <w:rStyle w:val="C3"/>
          <w:rFonts w:ascii="Courier New" w:hAnsi="Courier New"/>
        </w:rPr>
        <w:t xml:space="preserve">ORDENANZA  Nº 6778</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428/97 iniciado por el Sr. Luis Giménez solicitando lote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se cumplimentan los requisitos exigidos por Ordenanza para ser beneficiario de lote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al Sr. Luis Oscar Giménez, L.E. Nº 5.299.386 el lote 11 de la Mz. Of. 20, designación catastral 03-01-314-011, de Barrio Parque San Juan.</w:t>
      </w:r>
    </w:p>
    <w:p>
      <w:pPr>
        <w:ind w:hanging="709" w:left="709"/>
        <w:jc w:val="both"/>
        <w:rPr>
          <w:rStyle w:val="C3"/>
          <w:rFonts w:ascii="Courier New" w:hAnsi="Courier New"/>
          <w:b w:val="1"/>
          <w:sz w:val="24"/>
          <w:u w:val="single"/>
        </w:rPr>
      </w:pPr>
    </w:p>
    <w:p>
      <w:pPr>
        <w:pStyle w:val="P8"/>
        <w:ind w:hanging="709" w:left="709"/>
        <w:jc w:val="both"/>
        <w:rPr>
          <w:rStyle w:val="C3"/>
          <w:sz w:val="24"/>
        </w:rPr>
      </w:pPr>
      <w:r>
        <w:rPr>
          <w:rStyle w:val="C3"/>
          <w:b w:val="1"/>
          <w:sz w:val="24"/>
          <w:u w:val="single"/>
        </w:rPr>
        <w:t>Art.2:</w:t>
      </w:r>
      <w:r>
        <w:rPr>
          <w:rStyle w:val="C3"/>
          <w:sz w:val="24"/>
        </w:rPr>
        <w:t xml:space="preserve"> </w:t>
      </w:r>
      <w:r>
        <w:rPr>
          <w:rStyle w:val="C3"/>
          <w:b w:val="1"/>
          <w:sz w:val="24"/>
        </w:rPr>
        <w:t>E</w:t>
      </w:r>
      <w:r>
        <w:rPr>
          <w:rStyle w:val="C3"/>
          <w:b w:val="1"/>
          <w:sz w:val="24"/>
        </w:rPr>
        <w:t>L</w:t>
      </w:r>
      <w:r>
        <w:rPr>
          <w:rStyle w:val="C3"/>
          <w:sz w:val="24"/>
        </w:rPr>
        <w:t xml:space="preserve"> beneficiario deberá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Art.3:</w:t>
      </w:r>
      <w:r>
        <w:rPr>
          <w:rStyle w:val="C3"/>
          <w:sz w:val="24"/>
        </w:rPr>
        <w:t xml:space="preserve"> </w:t>
      </w:r>
      <w:r>
        <w:rPr>
          <w:rStyle w:val="C3"/>
          <w:b w:val="1"/>
          <w:sz w:val="24"/>
        </w:rPr>
        <w:t>LA</w:t>
      </w:r>
      <w:r>
        <w:rPr>
          <w:rStyle w:val="C3"/>
          <w:sz w:val="24"/>
        </w:rPr>
        <w:t xml:space="preserve"> donación dispuesta en la presente Ordenanza tiene el carácter de intransferible y caducará  de pleno derecho si no se cumplimenta lo prescripto en el Artículo anterior, debiendo restituir el inmueble a la Municipalidad de Alta Gracia y sólo podrá solicitar prórroga para construir si tiene las tasas al día.</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sz w:val="24"/>
        </w:rPr>
        <w:t xml:space="preserve"> </w:t>
      </w:r>
      <w:r>
        <w:rPr>
          <w:rStyle w:val="C3"/>
          <w:b w:val="1"/>
          <w:sz w:val="24"/>
        </w:rPr>
        <w:t>LA</w:t>
      </w:r>
      <w:r>
        <w:rPr>
          <w:rStyle w:val="C3"/>
          <w:sz w:val="24"/>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 pagar el beneficiario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Art.5:</w:t>
      </w:r>
      <w:r>
        <w:rPr>
          <w:rStyle w:val="C3"/>
          <w:sz w:val="24"/>
        </w:rPr>
        <w:t xml:space="preserve"> </w:t>
      </w:r>
      <w:r>
        <w:rPr>
          <w:rStyle w:val="C3"/>
          <w:b w:val="1"/>
          <w:sz w:val="24"/>
        </w:rPr>
        <w:t>EL</w:t>
      </w:r>
      <w:r>
        <w:rPr>
          <w:rStyle w:val="C3"/>
          <w:sz w:val="24"/>
        </w:rPr>
        <w:t xml:space="preserve"> lote donado será destinado exclusivamente a vivienda familiar del solicitante y su grupo familiar siendo intransferible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Art.6:</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 correspondiente escritura traslativa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Art.7:</w:t>
      </w:r>
      <w:r>
        <w:rPr>
          <w:rStyle w:val="C3"/>
          <w:sz w:val="24"/>
        </w:rPr>
        <w:t xml:space="preserve"> </w:t>
      </w:r>
      <w:r>
        <w:rPr>
          <w:rStyle w:val="C3"/>
          <w:b w:val="1"/>
          <w:sz w:val="24"/>
        </w:rPr>
        <w:t xml:space="preserve">AUTORIZASE </w:t>
      </w:r>
      <w:r>
        <w:rPr>
          <w:rStyle w:val="C3"/>
          <w:sz w:val="24"/>
        </w:rPr>
        <w:t>al Departamento Ejecutivo a suscribir la correspondiente escritura traslativa de dominio, la que se otorgará  de acuerdo con el dictamen final que a ese efecto emita el área correspondiente, previa supervisión, constatación e informe suministrado por el Departamento Municipal de la Vivienda y previa verificación de que posee las tasas al día, siendo los gastos a cargo del beneficiario.</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8</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2004-01-22T11:59:00Z</dcterms:created>
  <cp:lastModifiedBy>Ethan Puglia</cp:lastModifiedBy>
  <cp:lastPrinted>2004-01-22T11:57:00Z</cp:lastPrinted>
  <dcterms:modified xsi:type="dcterms:W3CDTF">2019-03-28T17:34:02Z</dcterms:modified>
  <cp:revision>5</cp:revision>
  <dc:title>ORDENANZA  Nº  5354</dc:title>
</cp:coreProperties>
</file>