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168076" Type="http://schemas.openxmlformats.org/officeDocument/2006/relationships/officeDocument" Target="/word/document.xml" /><Relationship Id="coreR1416807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6786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1228/02 iniciado por la Sra. Graciela Noemí Valerio de Pautasso solicitando recategorización del inmueble designación catastral 01-01-072-018-000 y ajuste correspondiente de la tasa; 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conforme a los informes de Obras Privadas y de Sección Catastro, se establece una corrección de la categoría del inmueble, reduciendo en consecuencia el gravamen que afecta al mismo;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certificado de deuda emitido surge que se ha modificado la tasa, debiendo extenderse la corrección a períodos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 y facilitando el pago de lo adeudado, despacho aprobado por unanimidad en Sesión  fecha 27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</w:t>
      </w:r>
      <w:r>
        <w:rPr>
          <w:rStyle w:val="C3"/>
          <w:b w:val="1"/>
          <w:sz w:val="24"/>
        </w:rPr>
        <w:t>SAFECTAR</w:t>
      </w:r>
      <w:r>
        <w:rPr>
          <w:rStyle w:val="C3"/>
          <w:sz w:val="24"/>
        </w:rPr>
        <w:t xml:space="preserve">  el Plan de Pagos Nº 293612 y eximir la deuda no prescripta que mantiene con el Municipio en concepto de Tasa por Servicios a la Propiedad al 30 de noviembre de 1997 el inmueble designación catastral 01-01-072-018-000, autorizando al Departamento Ejecutivo a otorgar un plan de pagos por las cuotas impagas correspondientes a los períodos 1998, 1999, 2000, 2001, 2002 y 2003, cuyo monto ascienda a PESOS OCHOCIENTOS SESENTA Y DOS CON CUARENTA ($862,40.-) de la siguiente manera: un anticipo de PESOS VEINTIDOS CON CUARENTA ($22,40.-) que deberá abonarse el 20 de febrero de 2004 y cuarenta y dos (42) cuotas mensuales e iguales de PESOS VEINTE ($20.-) cada una.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SOLICITAR</w:t>
      </w:r>
      <w:r>
        <w:rPr>
          <w:rStyle w:val="C3"/>
          <w:rFonts w:ascii="Courier New" w:hAnsi="Courier New"/>
          <w:sz w:val="24"/>
        </w:rPr>
        <w:t xml:space="preserve"> al Departamento Ejecutivo que de haberse iniciado alguna gestión para lograr el cobro de lo adeudado, se desestime la misma y se solicite al procurador interviniente, en su caso, renuncie a los honorarios conforme al convenio suscripto con el Municipio.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2003-12-08T19:40:00Z</dcterms:created>
  <cp:lastModifiedBy>Ethan Puglia</cp:lastModifiedBy>
  <cp:lastPrinted>2003-12-09T11:28:00Z</cp:lastPrinted>
  <dcterms:modified xsi:type="dcterms:W3CDTF">2019-03-28T17:34:02Z</dcterms:modified>
  <cp:revision>14</cp:revision>
  <dc:title>ORDENANZA  Nº  5354</dc:title>
</cp:coreProperties>
</file>