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C81B920" Type="http://schemas.openxmlformats.org/officeDocument/2006/relationships/officeDocument" Target="/word/document.xml" /><Relationship Id="coreRC81B92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6791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340/03 iniciado por el Sr. Roque Darío Sánchez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el grupo familiar atraviesa una situación de riesgo económico debido a la falta de trabajo y a los problemas de salud de ambos cónyuges;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la deuda no prescripta que al 31 de diciembre de 1999 mantiene con el Municipio en concepto de Tasa por Servicios a la Propiedad, el inmueble designación catastral  Nº 01-01-371-006-000.</w:t>
      </w:r>
      <w:r>
        <w:rPr>
          <w:rStyle w:val="C3"/>
          <w:b w:val="1"/>
          <w:sz w:val="24"/>
          <w:u w:val="single"/>
        </w:rPr>
        <w:t xml:space="preserve">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 ($3.-) al referido inmueble para el año 2004, retrotrayendo este beneficio a los períodos comprendidos entre el 1º de enero de 2000 y el 31 de diciembre de 2003 y con el monto resultante autorizar al Departamento Ejecutivo a otorgar un plan de pagos sin recargos ni intereses en veinticuatro (24) cuotas mensuales de PESOS SEIS ($6.-) cada una a partir del 20 de enero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que desista del juicio iniciado para perseguir el cobro y renuncie a los honorarios conforme a lo establecido en el convenio suscripto con el Municipio.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.4:</w:t>
      </w:r>
      <w:r>
        <w:rPr>
          <w:rStyle w:val="C3"/>
          <w:rFonts w:ascii="Courier New" w:hAnsi="Courier New"/>
          <w:b w:val="1"/>
          <w:sz w:val="24"/>
        </w:rPr>
        <w:t xml:space="preserve"> E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sz w:val="24"/>
        </w:rPr>
        <w:t xml:space="preserve"> caso de producirse un atraso de tres (3) cuotas consecutivas o cinco (5) alternadas en el pago de la tasa fijada en el Art. 2 y/o del plan de pagos concedido como también en caso de transferencia del inmueble, estos beneficios caducarán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2003-12-11T11:59:00Z</dcterms:created>
  <cp:lastModifiedBy>Ethan Puglia</cp:lastModifiedBy>
  <cp:lastPrinted>2003-12-08T20:54:00Z</cp:lastPrinted>
  <dcterms:modified xsi:type="dcterms:W3CDTF">2019-03-28T17:34:02Z</dcterms:modified>
  <cp:revision>17</cp:revision>
  <dc:title>ORDENANZA  Nº  5354</dc:title>
</cp:coreProperties>
</file>