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143E96" Type="http://schemas.openxmlformats.org/officeDocument/2006/relationships/officeDocument" Target="/word/document.xml" /><Relationship Id="coreR45143E9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6796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1622/03 iniciado por la Sra. Gladys Patricia Alaniz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conocida por Asistencia Social la grave situación económica que atraviesa esta familia, haciendo un esfuerzo para lograr el sustento;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parcialmente la deuda y otorgando los beneficios de la Ordenanza Nº 5485,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al Contribuyente Nº 9884 de la deuda no prescripta que en concepto de Tasa por Servicios a la Propiedad mantiene el inmueble designación catastral  Nº 03-01-005-012-000 al 31 de diciembre de 2002, incluido plan de pagos 858202.</w:t>
      </w:r>
      <w:r>
        <w:rPr>
          <w:rStyle w:val="C3"/>
          <w:b w:val="1"/>
          <w:sz w:val="24"/>
          <w:u w:val="single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Propiedad la suma de PESOS TRES   ($3.-) al referido inmueble a partir del 1º de enero de  2004 y mientras se mantengan los motivos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</w:t>
      </w:r>
      <w:r>
        <w:rPr>
          <w:rStyle w:val="C3"/>
          <w:rFonts w:ascii="Courier New" w:hAnsi="Courier New"/>
          <w:b w:val="1"/>
          <w:sz w:val="24"/>
          <w:u w:val="single"/>
        </w:rPr>
        <w:t>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sz w:val="24"/>
        </w:rPr>
        <w:t xml:space="preserve"> cada cuota abonada en término conforme a lo establecido en el Art. 2, eximir en forma correlativa una cuota de la deuda de los períodos no comprendidos en el Art.1.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2003-12-12T16:35:00Z</dcterms:created>
  <cp:lastModifiedBy>Ethan Puglia</cp:lastModifiedBy>
  <cp:lastPrinted>2003-12-12T16:52:00Z</cp:lastPrinted>
  <dcterms:modified xsi:type="dcterms:W3CDTF">2019-03-28T17:34:02Z</dcterms:modified>
  <cp:revision>10</cp:revision>
  <dc:title>ORDENANZA  Nº  5354</dc:title>
</cp:coreProperties>
</file>