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1BE4D3" Type="http://schemas.openxmlformats.org/officeDocument/2006/relationships/officeDocument" Target="/word/document.xml" /><Relationship Id="coreR6A1BE4D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6798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2100/00 iniciado por la Sra. Estela Margarita Funes solicitando a fs. 26, reconsideración de lo resuelto mediante Ordenanza Nº 5581;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situación de esta familia, como lo expresa el estudio socioeconómico, ha llegado a un punto de riesgo, debido a los múltiples inconvenientes que deben superar;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baja rentabilidad del comercio no les permiten disponer de recursos para afrontar la deuda que el mismo ha generado;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DEROGAR</w:t>
      </w:r>
      <w:r>
        <w:rPr>
          <w:rStyle w:val="C3"/>
          <w:sz w:val="24"/>
        </w:rPr>
        <w:t xml:space="preserve"> la Ordenanza Nº 5581.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>en un cien por ciento (100%) al Contribuyente Nº 33642 de la deuda no prescripta que en concepto de Tasa por Servicios de Inspección General e Higiene mantiene con el Municipio al 31 de diciembre de 2003 por el comercio Legajo Nº 533.</w:t>
      </w:r>
      <w:r>
        <w:rPr>
          <w:rStyle w:val="C3"/>
          <w:b w:val="1"/>
          <w:sz w:val="24"/>
          <w:u w:val="single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VERIFICAR</w:t>
      </w:r>
      <w:r>
        <w:rPr>
          <w:rStyle w:val="C3"/>
          <w:sz w:val="24"/>
        </w:rPr>
        <w:t xml:space="preserve">  si el capital afectado al comercio no supera los PESOS DOS MIL ($2000.-), en cuyo caso, categorizar el mismo dentro de lo establecido en la Ordenanza Nº 3873.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OLICITAR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dejar sin efecto la acción iniciada y renunciar a sus honorarios conforme al convenio suscripto con el Municipio.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2003-12-12T20:24:00Z</dcterms:created>
  <cp:lastModifiedBy>Ethan Puglia</cp:lastModifiedBy>
  <cp:lastPrinted>2003-12-12T21:02:00Z</cp:lastPrinted>
  <dcterms:modified xsi:type="dcterms:W3CDTF">2019-03-28T17:34:02Z</dcterms:modified>
  <cp:revision>15</cp:revision>
  <dc:title>ORDENANZA  Nº  5354</dc:title>
</cp:coreProperties>
</file>