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ED2E95" Type="http://schemas.openxmlformats.org/officeDocument/2006/relationships/officeDocument" Target="/word/document.xml" /><Relationship Id="coreR2BED2E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1159/03 iniciado por el Sr. Felix Clemente Sequeira solicitando reducción de deudas que mantiene con el Municipio;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ratifica la voluntad de pago del solicitante, toda vez que, a pesar de estar atravesando una difícil situación económica, ofrece acogerse al pago mediante cuotas accesibles;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RED</w:t>
      </w:r>
      <w:r>
        <w:rPr>
          <w:rStyle w:val="C3"/>
          <w:b w:val="1"/>
          <w:sz w:val="24"/>
        </w:rPr>
        <w:t>UCIR</w:t>
      </w:r>
      <w:r>
        <w:rPr>
          <w:rStyle w:val="C3"/>
          <w:sz w:val="24"/>
        </w:rPr>
        <w:t xml:space="preserve"> en un cincuenta por ciento (50%) la deuda no prescripta que en concepto de Tasa por Servicios a la Propiedad mantiene con el Municipio al 31 de diciembre de 2003 el inmueble designación catastral 03-01-250-010-000, autorizando al Departamento Ejecutivo a que con la deuda remanente a valores históricos le otorgue un plan de pagos sin intereses, sugiriendo un anticipo de PESOS TREINTA Y SEIS CON OCHENTA Y DOS CENTAVOS ($36,82.-) y treinta y cinco (35) cuotas de PESOS VEINTICUATRO  ($24.-) cada una a partir del 20 de febrero de 2004.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REDUCIR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cincuenta por ciento (50%) la tasa referida durante el año 2004.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sz w:val="24"/>
        </w:rPr>
        <w:t xml:space="preserve"> caso de producirse un atraso de tres (3) cuotas consecutivas o cinco (5) alternadas en el pago de la tasa mensual o del plan autorizado en el Art.1, como así también en caso de transferirse el inmueble, estos beneficios caducarán en forma automática y definitiva.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desestime cualquier acción realizada para perseguir el cobro de lo adeudado.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2003-12-13T07:04:00Z</dcterms:created>
  <cp:lastModifiedBy>Ethan Puglia</cp:lastModifiedBy>
  <cp:lastPrinted>2003-12-14T12:57:00Z</cp:lastPrinted>
  <dcterms:modified xsi:type="dcterms:W3CDTF">2019-03-28T17:34:02Z</dcterms:modified>
  <cp:revision>29</cp:revision>
  <dc:title>ORDENANZA  Nº  5354</dc:title>
</cp:coreProperties>
</file>