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5AC9C9" Type="http://schemas.openxmlformats.org/officeDocument/2006/relationships/officeDocument" Target="/word/document.xml" /><Relationship Id="coreR505AC9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1306/03 iniciado por la Sra. Margarita G. de Vitali solicitando unificación de cuentas a los fines tributarios y exención de deudas;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Obras Privadas informa sobre la factibilidad de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revela una particular situación originada luego de la enfermedad y fallecimiento del esposo de la solicitante;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unificar con fines tributarios las cuentas de los inmuebles  designaciones catastrales Nº 01-01-177-010/011/012, procediendo a reducir el monto a tributar conforme a la tabla que corresponda.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ESTABLECER</w:t>
      </w:r>
      <w:r>
        <w:rPr>
          <w:rStyle w:val="C3"/>
          <w:sz w:val="24"/>
        </w:rPr>
        <w:t xml:space="preserve"> la deuda utilizando la nueva tasa que resulte de la unificación de las cuentas y sin recargos ni intereses elaborar un plan de pagos en cuotas que no superen los PESOS CUARENTA Y CINCO ($45.-) por mes.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interviniente a fin de dejar sin efecto lo actuado y renunciar a sus honorarios conforme al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2003-12-13T16:47:00Z</dcterms:created>
  <cp:lastModifiedBy>Ethan Puglia</cp:lastModifiedBy>
  <cp:lastPrinted>2003-12-12T20:19:00Z</cp:lastPrinted>
  <dcterms:modified xsi:type="dcterms:W3CDTF">2019-03-28T17:34:02Z</dcterms:modified>
  <cp:revision>9</cp:revision>
  <dc:title>ORDENANZA  Nº  5354</dc:title>
</cp:coreProperties>
</file>