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2096FA2C" Type="http://schemas.openxmlformats.org/officeDocument/2006/relationships/officeDocument" Target="/word/document.xml" /><Relationship Id="coreR2096FA2C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</w:rPr>
      </w:pPr>
    </w:p>
    <w:p>
      <w:pPr>
        <w:pStyle w:val="P4"/>
        <w:rPr>
          <w:rStyle w:val="C3"/>
          <w:rFonts w:ascii="Courier New" w:hAnsi="Courier New"/>
        </w:rPr>
      </w:pPr>
    </w:p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6804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La nota presentada por la Sra. Andrea Fabiana Sanrame solicitando la baja del Legajo Nº 6912; y </w:t>
      </w: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los argumentos expuestos están debidamente acreditados con la documentación adjunta a la nota;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del estudio de la situación surge la necesidad de contemplar el caso y arbitrar las medidas tendientes a que el Contribuyente no quede excluido del sistema por su propia incapacidad económica;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evaluada la situación planteada por Comisión de Hacienda, la misma emite despacho accediendo a lo solicitado, despacho aprobado por unanimidad en Sesión de fecha 27 de noviembre de 2003.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Art.1:</w:t>
      </w:r>
      <w:r>
        <w:rPr>
          <w:rStyle w:val="C3"/>
          <w:b w:val="1"/>
          <w:sz w:val="24"/>
        </w:rPr>
        <w:t xml:space="preserve"> </w:t>
      </w:r>
      <w:r>
        <w:rPr>
          <w:rStyle w:val="C3"/>
          <w:b w:val="1"/>
          <w:sz w:val="24"/>
        </w:rPr>
        <w:t>O</w:t>
      </w:r>
      <w:r>
        <w:rPr>
          <w:rStyle w:val="C3"/>
          <w:b w:val="1"/>
          <w:sz w:val="24"/>
        </w:rPr>
        <w:t>T</w:t>
      </w:r>
      <w:r>
        <w:rPr>
          <w:rStyle w:val="C3"/>
          <w:b w:val="1"/>
          <w:sz w:val="24"/>
        </w:rPr>
        <w:t>O</w:t>
      </w:r>
      <w:r>
        <w:rPr>
          <w:rStyle w:val="C3"/>
          <w:b w:val="1"/>
          <w:sz w:val="24"/>
        </w:rPr>
        <w:t>R</w:t>
      </w:r>
      <w:r>
        <w:rPr>
          <w:rStyle w:val="C3"/>
          <w:b w:val="1"/>
          <w:sz w:val="24"/>
        </w:rPr>
        <w:t>G</w:t>
      </w:r>
      <w:r>
        <w:rPr>
          <w:rStyle w:val="C3"/>
          <w:b w:val="1"/>
          <w:sz w:val="24"/>
        </w:rPr>
        <w:t>A</w:t>
      </w:r>
      <w:r>
        <w:rPr>
          <w:rStyle w:val="C3"/>
          <w:b w:val="1"/>
          <w:sz w:val="24"/>
        </w:rPr>
        <w:t>R</w:t>
      </w:r>
      <w:r>
        <w:rPr>
          <w:rStyle w:val="C3"/>
          <w:b w:val="1"/>
          <w:sz w:val="24"/>
        </w:rPr>
        <w:t xml:space="preserve"> </w:t>
      </w:r>
      <w:r>
        <w:rPr>
          <w:rStyle w:val="C3"/>
          <w:sz w:val="24"/>
        </w:rPr>
        <w:t>la baja del Comercio Legajo Nº 6912 a partir del 31 de octubre de 1997, quedando eliminada la deuda que hubiere generado en concepto de Tasa por Servicios de Inspección General e Higiene.</w:t>
      </w: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</w:t>
      </w:r>
      <w:r>
        <w:rPr>
          <w:rStyle w:val="C3"/>
          <w:b w:val="1"/>
          <w:sz w:val="24"/>
          <w:u w:val="single"/>
        </w:rPr>
        <w:t>rt.</w:t>
      </w:r>
      <w:r>
        <w:rPr>
          <w:rStyle w:val="C3"/>
          <w:b w:val="1"/>
          <w:sz w:val="24"/>
          <w:u w:val="single"/>
        </w:rPr>
        <w:t>2</w:t>
      </w:r>
      <w:r>
        <w:rPr>
          <w:rStyle w:val="C3"/>
          <w:b w:val="1"/>
          <w:sz w:val="24"/>
          <w:u w:val="single"/>
        </w:rPr>
        <w:t>:</w:t>
      </w:r>
      <w:r>
        <w:rPr>
          <w:rStyle w:val="C3"/>
          <w:b w:val="1"/>
          <w:sz w:val="24"/>
        </w:rPr>
        <w:t xml:space="preserve"> S</w:t>
      </w:r>
      <w:r>
        <w:rPr>
          <w:rStyle w:val="C3"/>
          <w:b w:val="1"/>
          <w:sz w:val="24"/>
        </w:rPr>
        <w:t>OLIC</w:t>
      </w:r>
      <w:r>
        <w:rPr>
          <w:rStyle w:val="C3"/>
          <w:b w:val="1"/>
          <w:sz w:val="24"/>
        </w:rPr>
        <w:t xml:space="preserve">ITAR </w:t>
      </w:r>
      <w:r>
        <w:rPr>
          <w:rStyle w:val="C3"/>
          <w:sz w:val="24"/>
        </w:rPr>
        <w:t>al Departamento Ejecutivo interceda ante el Procurador actuante a fin de dejar sin efecto la acción iniciada para perseguir el cobro de lo adeudado y renuncie a sus honorarios conforme a convenio suscripto con el Municipio.</w:t>
      </w:r>
    </w:p>
    <w:p>
      <w:pPr>
        <w:pStyle w:val="P8"/>
        <w:ind w:hanging="709" w:left="709"/>
        <w:jc w:val="right"/>
        <w:rPr>
          <w:rStyle w:val="C3"/>
          <w:sz w:val="24"/>
        </w:rPr>
      </w:pPr>
      <w:r>
        <w:rPr>
          <w:rStyle w:val="C3"/>
          <w:sz w:val="24"/>
        </w:rPr>
        <w:t>...///</w:t>
      </w: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sz w:val="24"/>
        </w:rPr>
        <w:t>...///2.-</w:t>
      </w: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Art.3:</w:t>
      </w:r>
      <w:r>
        <w:rPr>
          <w:rStyle w:val="C3"/>
          <w:b w:val="1"/>
          <w:sz w:val="24"/>
        </w:rPr>
        <w:t xml:space="preserve"> EXIMIR</w:t>
      </w:r>
      <w:r>
        <w:rPr>
          <w:rStyle w:val="C3"/>
          <w:sz w:val="24"/>
        </w:rPr>
        <w:t xml:space="preserve"> al Contribuyente Nº 19235 del setenta por ciento (70%) de la deuda no prescripta que a la fecha mantiene con el Municipio en concepto de Tasa por Servicios de Inspección General e Higiene por el Comercio Legajo Nº 6299, autorizando al Departamento Ejecutivo a otorgar por el treinta por ciento (30%) restante un plan de pagos de acuerdo a las posibilidades del Contribuyente.</w:t>
      </w: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Art.4:</w:t>
      </w:r>
      <w:r>
        <w:rPr>
          <w:rStyle w:val="C3"/>
          <w:b w:val="1"/>
          <w:sz w:val="24"/>
        </w:rPr>
        <w:t xml:space="preserve"> POR</w:t>
      </w:r>
      <w:r>
        <w:rPr>
          <w:rStyle w:val="C3"/>
          <w:sz w:val="24"/>
        </w:rPr>
        <w:t xml:space="preserve"> cada cuota de la Tasa actual abonada en término, eximir en forma correlativa dos (2) cuotas de la deuda no prescripta en el Art. 3.</w:t>
      </w: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Art.5:</w:t>
      </w:r>
      <w:r>
        <w:rPr>
          <w:rStyle w:val="C3"/>
          <w:b w:val="1"/>
          <w:sz w:val="24"/>
        </w:rPr>
        <w:t xml:space="preserve"> EN</w:t>
      </w:r>
      <w:r>
        <w:rPr>
          <w:rStyle w:val="C3"/>
          <w:sz w:val="24"/>
        </w:rPr>
        <w:t xml:space="preserve"> caso de producirse un atraso en el pago de tres (3) cuotas consecutivas o cinco (5) cuotas alternadas de la Tasa actual, los beneficios otorgados caducarán en forma automática y definitiva, como así también en caso de transferirse el comercio.</w:t>
      </w: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6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VEINTISIETE DIAS DEL MES DE NOVIEMBRE DEL AÑO DOS MIL TRES.</w:t>
      </w:r>
    </w:p>
    <w:sectPr>
      <w:type w:val="nextPage"/>
      <w:pgMar w:left="1701" w:right="1701" w:top="1134" w:bottom="1418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paragraph" w:styleId="P8">
    <w:name w:val="Texto sin formato"/>
    <w:basedOn w:val="P0"/>
    <w:next w:val="P8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2003-12-15T02:15:00Z</dcterms:created>
  <cp:lastModifiedBy>Ethan Puglia</cp:lastModifiedBy>
  <cp:lastPrinted>2003-12-15T02:11:00Z</cp:lastPrinted>
  <dcterms:modified xsi:type="dcterms:W3CDTF">2019-03-28T17:34:02Z</dcterms:modified>
  <cp:revision>16</cp:revision>
  <dc:title>ORDENANZA  Nº  5354</dc:title>
</cp:coreProperties>
</file>