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4AD727" Type="http://schemas.openxmlformats.org/officeDocument/2006/relationships/officeDocument" Target="/word/document.xml" /><Relationship Id="coreR194AD72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6818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1232/01 iniciado por la Sra. Ana María Chávez solicitando se reconsidere lo resuelto mediante Ordenanza Nº 5658 y Nº 6326;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esta familia mantiene un estado de carencia extrema al no contar con ingresos suficientes para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Hacienda, la misma emite despacho accediendo a otorgar  exención parcial y concediendo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DEROGAR </w:t>
      </w:r>
      <w:r>
        <w:rPr>
          <w:rStyle w:val="C3"/>
          <w:rFonts w:ascii="Courier New" w:hAnsi="Courier New"/>
          <w:sz w:val="24"/>
        </w:rPr>
        <w:t>las Ordenanzas Nº 5658 y Nº 6326.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no prescripta que al 31 de diciembre de 1999 mantiene con el Municipio en concepto de Tasa por Servicios a la Propiedad el inmueble designación catastral 01-01-271-007-000.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al referido inmueble, la suma de PESOS TRES ($ 3.-) a partir del 1º de enero de 2004 y mientras se mantengan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3,  eximir de dos (2) cuotas de la deuda no eximida en el Art. 2, en forma correlativa.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para dejar sin efecto el juicio iniciado y renuncie a sus honorarios conforme a lo establecido en el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2004-01-13T16:21:00Z</dcterms:created>
  <cp:lastModifiedBy>Ethan Puglia</cp:lastModifiedBy>
  <cp:lastPrinted>2004-01-16T16:18:00Z</cp:lastPrinted>
  <dcterms:modified xsi:type="dcterms:W3CDTF">2019-03-28T17:34:02Z</dcterms:modified>
  <cp:revision>7</cp:revision>
  <dc:title>ORDENANZA  Nº  5354</dc:title>
</cp:coreProperties>
</file>