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382DCDA" Type="http://schemas.openxmlformats.org/officeDocument/2006/relationships/officeDocument" Target="/word/document.xml" /><Relationship Id="coreR3382DCD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6821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1715/00 iniciado por el Sr. Carlos Alberto Tejeda solicitando exención de deudas que mantiene con el Municipio;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revela una situación con marcados límites económicos, con necesidades básicas insatisfechas, agravada por problemas de salud que padece el solicitante;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adjunta Declaración Jurada realizada ante autoridad policial avalada por testigos donde se afirma que el solicitante no tiene trabajo fijo, percibiendo un plan Jefes/as de Hogar;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Hacienda, la misma emite despacho accediendo a lo solicitado y otorgando los beneficios de la Ordenanza Nº 5485,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baja del Comercio Legajo Nº 5738 a partir de enero de 1995 desestimando la deuda que haya generado posterior a la fecha citada.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las deudas no prescriptas que en concepto de Tasa por Servicios a la Propiedad mantiene con el Municipio al 31 de diciembre de 1998, los inmuebles designaciones catastrales 01-01-200-005/006, incluidos planes de pagos Nº 29674 y Nº 411602.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FIJAR</w:t>
      </w:r>
      <w:r>
        <w:rPr>
          <w:rStyle w:val="C3"/>
          <w:rFonts w:ascii="Courier New" w:hAnsi="Courier New"/>
          <w:sz w:val="24"/>
        </w:rPr>
        <w:t xml:space="preserve"> como cuota mensual a abonar en concepto de Tasa por Servicios a la Propiedad al inmueble 01-01-200-005-000, la suma de PESOS CINCO ($ 5.-) y una cuota mensual de PESOS TRES ($ 3.-) al inmueble 01-01-200-006-000 por el mismo concepto, a partir del 1º de enero de 2004 y mientras no varíen los motivos que fundamentan la presente.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 xml:space="preserve">cada cuota de la tasa actual abonada en término conforme a lo establecido en el Art. 3,  eximir de dos (2) cuotas a cada uno de los inmuebles, de la deuda no eximida en el Art. 2,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2004-01-13T14:02:00Z</dcterms:created>
  <cp:lastModifiedBy>Ethan Puglia</cp:lastModifiedBy>
  <cp:lastPrinted>2004-01-12T16:24:00Z</cp:lastPrinted>
  <dcterms:modified xsi:type="dcterms:W3CDTF">2019-03-28T17:34:02Z</dcterms:modified>
  <cp:revision>9</cp:revision>
  <dc:title>ORDENANZA  Nº  5354</dc:title>
</cp:coreProperties>
</file>