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7DC3DD8" Type="http://schemas.openxmlformats.org/officeDocument/2006/relationships/officeDocument" Target="/word/document.xml" /><Relationship Id="coreR27DC3DD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6836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Alicia Mabel Allende solicitando exención de Derechos de Introducción al Cementerio y la Tasa correspondiente;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habiendo fallecido su padre, la familia no cuenta con medios para afrontar el costo correspondiente a Derechos de Introducción en el Cementerio;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situación planteada en Sesión de fecha 27 de noviembre de 2003, se resuelve por unanimidad acceder a lo solicitado.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sz w:val="24"/>
        </w:rPr>
        <w:t xml:space="preserve"> el pago de los Derechos de Introducción al Cementerio por el ingreso de los restos del Sr. Ricardo Jesús Allende.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2004-01-13T11:24:00Z</dcterms:created>
  <cp:lastModifiedBy>Ethan Puglia</cp:lastModifiedBy>
  <cp:lastPrinted>2004-01-13T11:36:00Z</cp:lastPrinted>
  <dcterms:modified xsi:type="dcterms:W3CDTF">2019-03-28T17:34:03Z</dcterms:modified>
  <cp:revision>7</cp:revision>
  <dc:title>ORDENANZA  Nº  5354</dc:title>
</cp:coreProperties>
</file>