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BE34AA9" Type="http://schemas.openxmlformats.org/officeDocument/2006/relationships/officeDocument" Target="/word/document.xml" /><Relationship Id="coreR3BE34AA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6845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175/97 donde el Sr. Jorge Alberto Pedernera solicita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obrante a fs. 134 revela que el peticionante atraviesa un difícil momento socioeconómico familiar, poseyendo como único ingreso un plan Jefes/as de Hogar;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Dirección de Ingresos Públicos informa que este Contribuyente manifiesta incapacidad de pago para afrontar la deuda;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evaluado el contenido del Expediente por Comisión de Hacienda, la misma emite despacho accediendo a otorgar  una exención y los beneficios de la Ordenanza Nº 5485, despacho aprobado por unanimidad en Sesión de fecha 27 de noviembre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rPr>
          <w:rStyle w:val="C3"/>
          <w:rFonts w:ascii="Courier New" w:hAnsi="Courier New"/>
          <w:b w:val="1"/>
          <w:color w:val="FF0000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EXIMIR</w:t>
      </w:r>
      <w:r>
        <w:rPr>
          <w:rStyle w:val="C3"/>
          <w:rFonts w:ascii="Courier New" w:hAnsi="Courier New"/>
          <w:sz w:val="24"/>
        </w:rPr>
        <w:t xml:space="preserve"> en un cien por ciento (100%) la deuda no prescripta que en concepto de Tasa por Servicios a la Propiedad mantiene el inmueble designación catastral 03-01-069-018-000 al 31 de diciembre de 1999.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al mismo inmueble, la suma de PESOS CUATRO ($ 4.-) a partir del 1º de enero de 2004 y en tanto perduren las razones que fundamentan la presente.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 xml:space="preserve">cada cuota abonada en término conforme a lo establecido en el Art. 2,  eximir de dos (2) cuotas de la deuda no eximida en el Art. 1, en forma correlativa.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SOLICITAR</w:t>
      </w:r>
      <w:r>
        <w:rPr>
          <w:rStyle w:val="C3"/>
          <w:rFonts w:ascii="Courier New" w:hAnsi="Courier New"/>
          <w:sz w:val="24"/>
        </w:rPr>
        <w:t xml:space="preserve"> al Departamento Ejecutivo desestime cualquier acción tendiente al cobro de la deuda e interceda ante el Procurador actuante para que deje sin efecto lo actuado y renuncie a sus honorarios conforme al convenio suscripto con el Municipio.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EN </w:t>
      </w:r>
      <w:r>
        <w:rPr>
          <w:rStyle w:val="C3"/>
          <w:rFonts w:ascii="Courier New" w:hAnsi="Courier New"/>
          <w:sz w:val="24"/>
        </w:rPr>
        <w:t>caso de producirse un atraso en el pago de tres (3) cuotas consecutivas o cinco (5) alternadas, así también como en caso de transferirse el inmueble al que se hace referencia, los beneficios acordados caducarán en forma automática y definitiva.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Art.6: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2004-01-14T16:30:00Z</dcterms:created>
  <cp:lastModifiedBy>Ethan Puglia</cp:lastModifiedBy>
  <cp:lastPrinted>2004-01-14T16:22:00Z</cp:lastPrinted>
  <dcterms:modified xsi:type="dcterms:W3CDTF">2019-03-28T17:34:03Z</dcterms:modified>
  <cp:revision>15</cp:revision>
  <dc:title>ORDENANZA  Nº  5354</dc:title>
</cp:coreProperties>
</file>