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74CF26" Type="http://schemas.openxmlformats.org/officeDocument/2006/relationships/officeDocument" Target="/word/document.xml" /><Relationship Id="coreR7D74CF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rPr>
          <w:rStyle w:val="C3"/>
          <w:u w:val="single"/>
        </w:rPr>
      </w:pPr>
      <w:r>
        <w:rPr>
          <w:rStyle w:val="C3"/>
          <w:u w:val="single"/>
        </w:rPr>
        <w:t xml:space="preserve">ORDENANZA  Nº  6848  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2"/>
        <w:ind w:hanging="720" w:left="720"/>
        <w:jc w:val="both"/>
        <w:rPr>
          <w:rStyle w:val="C3"/>
          <w:b w:val="1"/>
        </w:rPr>
      </w:pPr>
      <w:r>
        <w:rPr>
          <w:rStyle w:val="C3"/>
          <w:b w:val="0"/>
        </w:rPr>
        <w:t>Visto: El Proyecto de Ordenanza presentado por el Departamento Ejecutivo estableciendo la adhesión de la Municipalidad de Alta Gracia a los términos y alcances de la Ley provincial N° 9078;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</w:rPr>
      </w:pPr>
    </w:p>
    <w:p>
      <w:pPr>
        <w:pStyle w:val="P1"/>
      </w:pPr>
      <w:r>
        <w:t>C O N S I D E R A N D O</w:t>
      </w:r>
    </w:p>
    <w:p/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el Derecho de Emergencia viene siendo adoptado por los órdenes provincial y municipal desde la severa crisis económico financiera que afectó al país hacia fines de 2001 y principios de 2001;</w:t>
      </w:r>
    </w:p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no están dadas las condiciones para que la Municipalidad de Alta Gracia no se siga amparando bajo los criterios jurídicos que resguarden debidamente las finanzas municipales de cualquier eventualidad;</w:t>
      </w:r>
    </w:p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razones de buen orden y práctica administrativa llevan a extender el período de emergencia ante la eventualidad del surgimiento de obligaciones de inmediato cumplimiento;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"/>
      </w:pPr>
      <w:r>
        <w:t xml:space="preserve">EL HONORABLE CONCEJO DELIBERANTE DE LA CIUDAD DE </w:t>
      </w: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DECLARASE</w:t>
      </w:r>
      <w:r>
        <w:rPr>
          <w:rStyle w:val="C3"/>
          <w:rFonts w:ascii="Courier New" w:hAnsi="Courier New"/>
        </w:rPr>
        <w:t xml:space="preserve">  </w:t>
      </w:r>
      <w:r>
        <w:rPr>
          <w:rStyle w:val="C3"/>
          <w:rFonts w:ascii="Courier New" w:hAnsi="Courier New"/>
          <w:sz w:val="24"/>
        </w:rPr>
        <w:t>la adhesión de la Municipalidad de Alta Gracia a la Ley Provincial N° 9078 y a las reglamentaciones de la misma dictadas por el Poder Ejecutivo Provincial vigentes a la fecha de sanción de la presente Ordenanza, en concordancia con la Ley Nacional Nº 25344.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adhesión dispuesta en el artículo precedente será aplicable con los alcances y limitaciones que la Carta Orgánica de la Ciudad de Alta Gracia establece; así como con los modos y formas procesales y de tramitaciones administrativas adecuadas a la legislación sustancial y procesal vigente en esta Ciudad.</w:t>
      </w: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DISPONESE</w:t>
      </w:r>
      <w:r>
        <w:rPr>
          <w:rStyle w:val="C3"/>
          <w:rFonts w:ascii="Courier New" w:hAnsi="Courier New"/>
          <w:sz w:val="24"/>
        </w:rPr>
        <w:t xml:space="preserve"> que toda rectificación del Presupuesto Municipal, referida a compensación de partidas entre diferentes áreas de la Municipalidad, deberá contar con la aprobación de este Honorable Concejo Deliberante.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ESTABLÉCESE</w:t>
      </w:r>
      <w:r>
        <w:rPr>
          <w:rStyle w:val="C3"/>
          <w:rFonts w:ascii="Courier New" w:hAnsi="Courier New"/>
          <w:sz w:val="24"/>
        </w:rPr>
        <w:t xml:space="preserve"> que las disposiciones del Artículo Nº 4 de la Ley Provincial Nº 9078 a la cual se adhiere, se refiere en el ámbito de la Municipalidad de Alta Gracia a los contratos de concesión, obras y servicios públicos; proveedores y demás contrataciones no laborales, los cuales se seguirán rigiendo por la normativa de su celebración.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>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</w:rPr>
        <w:t>DADA EN LA SALA DE SESIONES DEL HONORABLE CONCEJO DELIBERANTE A DIECINUEVE DIAS DEL MES DE DICIEMBRE DEL AÑO DOS MIL TRES.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rPr>
          <w:rStyle w:val="C3"/>
        </w:rPr>
      </w:pPr>
    </w:p>
    <w:sectPr>
      <w:type w:val="continuous"/>
      <w:pgSz w:w="11907" w:h="16840" w:code="0"/>
      <w:pgMar w:left="1701" w:right="1701" w:top="1418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sz w:val="24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sz w:val="24"/>
    </w:rPr>
  </w:style>
  <w:style w:type="paragraph" w:styleId="P3">
    <w:name w:val="Sangría 2 de t. independiente"/>
    <w:basedOn w:val="P0"/>
    <w:next w:val="P3"/>
    <w:pPr>
      <w:ind w:left="720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MunicipAltaGracia</dc:creator>
  <dcterms:created xsi:type="dcterms:W3CDTF">2003-12-19T14:12:00Z</dcterms:created>
  <cp:lastModifiedBy>Ethan Puglia</cp:lastModifiedBy>
  <cp:lastPrinted>2003-12-23T00:35:00Z</cp:lastPrinted>
  <dcterms:modified xsi:type="dcterms:W3CDTF">2019-03-28T17:34:03Z</dcterms:modified>
  <cp:revision>12</cp:revision>
  <dc:title>PROYECTO DE ORDENANZA</dc:title>
</cp:coreProperties>
</file>