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6EF4F75" Type="http://schemas.openxmlformats.org/officeDocument/2006/relationships/officeDocument" Target="/word/document.xml" /><Relationship Id="coreR26EF4F7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6852</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Proyecto de Ordenanza presentado por el Departamento Ejecutivo referido a la Ampliación de Jurisdicción del Tribunal de Faltas de Alta Gracia;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mediante Ordenanza N° 5308, promulgada mediante Decreto 0851-01 la Municipalidad de Alta Gracia adhirió a la ley Provincial N° 8560 y su Decreto Reglamentario N° 1993/99 y por otra parte mediante Ordenanza N° 5987 se adhirió a la Ley Provincial N° 9022, modificatoria de la Ley N° 8560;</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en principio, las Comunas de Villa La Bolsa y Villa Los Aromos han solicitado se amplíe la Jurisdicción del Tribunal de Faltas de esta Municipalidad de Alta Gracia, a los fines del juzgamiento y resolución de las infracciones de tránsito que se cometan en al ámbito de las Comunas.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al respecto y de acuerdo a lo explicitado por la Dra. Titular del Juzgado de Faltas de este Municipio, es prioritario que las Comunas solicitantes, remitan la normativa expresa que refrenda los términos del Art. 197 Inc. 9 de la Ley Orgánica Municipal;</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lo que a este Municipio se refiere, es necesario sancionar una Ordenanza que amplíe la competencia y jurisdicción de los Art. 1 de las Ordenanzas N° 1572 y N° 1967;</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a los efectos solicitados, el Proyecto de Ordenanza adjunta también el Proyecto de Acuerdo a suscribir entre la Municipalidad de Alta Gracia y las Comunas de Villa La Bolsa y Los Aromos;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caso de compartir criterio quede abierta y autorizada la posibilidad de suscribir otros Acuerdos de igual tenor con otras Comunas y/o Municipios que manifiesten la misma intención.</w:t>
      </w: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rPr>
      </w:pPr>
    </w:p>
    <w:p>
      <w:pPr>
        <w:ind w:left="709"/>
        <w:jc w:val="center"/>
        <w:rPr>
          <w:rStyle w:val="C3"/>
          <w:rFonts w:ascii="Courier New" w:hAnsi="Courier New"/>
          <w:sz w:val="24"/>
        </w:rPr>
      </w:pPr>
    </w:p>
    <w:p>
      <w:pPr>
        <w:pStyle w:val="P6"/>
        <w:rPr>
          <w:rStyle w:val="C3"/>
          <w:rFonts w:ascii="Courier New" w:hAnsi="Courier New"/>
        </w:rPr>
      </w:pPr>
    </w:p>
    <w:p>
      <w:pPr>
        <w:rPr>
          <w:rStyle w:val="C3"/>
          <w:rFonts w:ascii="Courier New" w:hAnsi="Courier New"/>
          <w:sz w:val="24"/>
        </w:rPr>
      </w:pPr>
    </w:p>
    <w:p>
      <w:pPr>
        <w:rPr>
          <w:rStyle w:val="C3"/>
          <w:rFonts w:ascii="Courier New" w:hAnsi="Courier New"/>
          <w:sz w:val="24"/>
        </w:rPr>
      </w:pPr>
      <w:r>
        <w:rPr>
          <w:rStyle w:val="C3"/>
          <w:rFonts w:ascii="Courier New" w:hAnsi="Courier New"/>
          <w:sz w:val="24"/>
        </w:rPr>
        <w:t>...///2.-</w:t>
      </w:r>
    </w:p>
    <w:p>
      <w:pPr>
        <w:rPr>
          <w:rStyle w:val="C3"/>
          <w:rFonts w:ascii="Courier New" w:hAnsi="Courier New"/>
          <w:sz w:val="24"/>
        </w:rPr>
      </w:pPr>
    </w:p>
    <w:p>
      <w:pPr>
        <w:rPr>
          <w:rStyle w:val="C3"/>
          <w:rFonts w:ascii="Courier New" w:hAnsi="Courier New"/>
          <w:sz w:val="24"/>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P</w:t>
      </w:r>
      <w:r>
        <w:rPr>
          <w:rStyle w:val="C3"/>
          <w:rFonts w:ascii="Courier New" w:hAnsi="Courier New"/>
          <w:b w:val="1"/>
          <w:caps w:val="1"/>
          <w:sz w:val="24"/>
        </w:rPr>
        <w:t>rorrOgar</w:t>
      </w:r>
      <w:r>
        <w:rPr>
          <w:rStyle w:val="C3"/>
          <w:rFonts w:ascii="Courier New" w:hAnsi="Courier New"/>
          <w:sz w:val="24"/>
        </w:rPr>
        <w:t xml:space="preserve"> y ampliar la facultad otorgada a los Tribunales Administrativos de Faltas de la Ciudad de Alta Gracia determinada en el artículo 1º de la Ordenanza N° 1572 al efecto del juzgamiento de las contravenciones y/o faltas a la Ley Provincial Nº 8560 y Nº 9022 en el ámbito territorial de aquellas Comunas que por Acto y Convenio expreso han reconocido y delegado en éstos su jurisdicción y competencia.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sz w:val="24"/>
        </w:rPr>
        <w:t xml:space="preserve"> </w:t>
      </w:r>
      <w:r>
        <w:rPr>
          <w:rStyle w:val="C3"/>
          <w:rFonts w:ascii="Courier New" w:hAnsi="Courier New"/>
          <w:b w:val="1"/>
          <w:caps w:val="1"/>
          <w:sz w:val="24"/>
        </w:rPr>
        <w:t>TEneR</w:t>
      </w:r>
      <w:r>
        <w:rPr>
          <w:rStyle w:val="C3"/>
          <w:rFonts w:ascii="Courier New" w:hAnsi="Courier New"/>
          <w:sz w:val="24"/>
        </w:rPr>
        <w:t xml:space="preserve"> por ampliado en iguales términos la jurisdicción y competencia establecida en el artículo 1º de la Ordenanza N° 1967. Ello sin perjuicio de lo determinado expresamente por las Ordenanzas Nº 5308 y Nº 5987.</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sz w:val="24"/>
        </w:rPr>
        <w:t xml:space="preserve"> </w:t>
      </w:r>
      <w:r>
        <w:rPr>
          <w:rStyle w:val="C3"/>
          <w:rFonts w:ascii="Courier New" w:hAnsi="Courier New"/>
          <w:b w:val="1"/>
          <w:caps w:val="1"/>
          <w:sz w:val="24"/>
        </w:rPr>
        <w:t>Requerir</w:t>
      </w:r>
      <w:r>
        <w:rPr>
          <w:rStyle w:val="C3"/>
          <w:rFonts w:ascii="Courier New" w:hAnsi="Courier New"/>
          <w:sz w:val="24"/>
        </w:rPr>
        <w:t xml:space="preserve"> a las Comunas la confección de la legislación acorde, en concordancia con el Proyecto de Acuerdo, que como Anexo 1 se adjunta a la presente Ordenanza. Los acuerdos firmados serán elevados por el Departamento Ejecutivo ad referéndum del Honorable Concejo Deliberante.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sz w:val="24"/>
        </w:rPr>
        <w:t xml:space="preserve"> </w:t>
      </w:r>
      <w:r>
        <w:rPr>
          <w:rStyle w:val="C3"/>
          <w:rFonts w:ascii="Courier New" w:hAnsi="Courier New"/>
          <w:b w:val="1"/>
          <w:sz w:val="24"/>
        </w:rPr>
        <w:t>COMUNIQUESE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DOS DIAS DEL MES DE ENERO DEL AÑO DOS MIL CUATRO.</w:t>
      </w:r>
    </w:p>
    <w:p>
      <w:pPr>
        <w:pStyle w:val="P7"/>
        <w:rPr>
          <w:rStyle w:val="C3"/>
          <w:rFonts w:ascii="Courier New" w:hAnsi="Courier New"/>
          <w:b w:val="1"/>
        </w:rPr>
      </w:pPr>
    </w:p>
    <w:p>
      <w:pPr>
        <w:pStyle w:val="P7"/>
        <w:rPr>
          <w:rStyle w:val="C3"/>
          <w:rFonts w:ascii="Courier New" w:hAnsi="Courier New"/>
          <w:b w:val="1"/>
        </w:rPr>
      </w:pPr>
    </w:p>
    <w:p>
      <w:pPr>
        <w:pStyle w:val="P7"/>
        <w:rPr>
          <w:rStyle w:val="C3"/>
          <w:rFonts w:ascii="Courier New" w:hAnsi="Courier New"/>
          <w:b w:val="1"/>
        </w:rPr>
      </w:pPr>
    </w:p>
    <w:p>
      <w:pPr>
        <w:pStyle w:val="P7"/>
        <w:rPr>
          <w:rStyle w:val="C3"/>
          <w:rFonts w:ascii="Courier New" w:hAnsi="Courier New"/>
          <w:b w:val="1"/>
        </w:rPr>
      </w:pPr>
    </w:p>
    <w:p>
      <w:pPr>
        <w:pStyle w:val="P7"/>
        <w:rPr>
          <w:rStyle w:val="C3"/>
          <w:rFonts w:ascii="Courier New" w:hAnsi="Courier New"/>
          <w:b w:val="1"/>
        </w:rPr>
      </w:pPr>
    </w:p>
    <w:p>
      <w:pPr>
        <w:pStyle w:val="P7"/>
        <w:jc w:val="right"/>
        <w:rPr>
          <w:rStyle w:val="C3"/>
          <w:rFonts w:ascii="Courier New" w:hAnsi="Courier New"/>
          <w:b w:val="1"/>
        </w:rPr>
      </w:pPr>
      <w:r>
        <w:rPr>
          <w:rStyle w:val="C3"/>
          <w:rFonts w:ascii="Courier New" w:hAnsi="Courier New"/>
          <w:b w:val="0"/>
        </w:rPr>
        <w:t>...///</w:t>
      </w:r>
    </w:p>
    <w:p>
      <w:pPr>
        <w:pStyle w:val="P7"/>
        <w:rPr>
          <w:rStyle w:val="C3"/>
          <w:rFonts w:ascii="Courier New" w:hAnsi="Courier New"/>
          <w:b w:val="1"/>
        </w:rPr>
      </w:pPr>
    </w:p>
    <w:p>
      <w:pPr>
        <w:pStyle w:val="P7"/>
        <w:rPr>
          <w:rStyle w:val="C3"/>
          <w:rFonts w:ascii="Courier New" w:hAnsi="Courier New"/>
          <w:b w:val="1"/>
        </w:rPr>
      </w:pPr>
    </w:p>
    <w:p>
      <w:pPr>
        <w:pStyle w:val="P7"/>
        <w:rPr>
          <w:rStyle w:val="C3"/>
          <w:rFonts w:ascii="Courier New" w:hAnsi="Courier New"/>
          <w:b w:val="1"/>
        </w:rPr>
      </w:pPr>
    </w:p>
    <w:p>
      <w:pPr>
        <w:pStyle w:val="P7"/>
        <w:rPr>
          <w:rStyle w:val="C3"/>
          <w:rFonts w:ascii="Courier New" w:hAnsi="Courier New"/>
          <w:b w:val="1"/>
        </w:rPr>
      </w:pPr>
    </w:p>
    <w:p>
      <w:pPr>
        <w:pStyle w:val="P7"/>
        <w:rPr>
          <w:rStyle w:val="C3"/>
          <w:rFonts w:ascii="Courier New" w:hAnsi="Courier New"/>
          <w:b w:val="1"/>
        </w:rPr>
      </w:pPr>
    </w:p>
    <w:p>
      <w:pPr>
        <w:pStyle w:val="P7"/>
        <w:rPr>
          <w:rStyle w:val="C3"/>
          <w:rFonts w:ascii="Courier New" w:hAnsi="Courier New"/>
          <w:b w:val="1"/>
        </w:rPr>
      </w:pPr>
    </w:p>
    <w:p>
      <w:pPr>
        <w:pStyle w:val="P7"/>
        <w:rPr>
          <w:rStyle w:val="C3"/>
          <w:rFonts w:ascii="Courier New" w:hAnsi="Courier New"/>
          <w:b w:val="1"/>
        </w:rPr>
      </w:pPr>
      <w:r>
        <w:rPr>
          <w:rStyle w:val="C3"/>
          <w:rFonts w:ascii="Courier New" w:hAnsi="Courier New"/>
          <w:b w:val="0"/>
        </w:rPr>
        <w:t>...///3.-</w:t>
      </w:r>
    </w:p>
    <w:p>
      <w:pPr>
        <w:pStyle w:val="P7"/>
        <w:rPr>
          <w:rStyle w:val="C3"/>
          <w:rFonts w:ascii="Courier New" w:hAnsi="Courier New"/>
          <w:b w:val="1"/>
        </w:rPr>
      </w:pPr>
    </w:p>
    <w:p>
      <w:pPr>
        <w:pStyle w:val="P7"/>
        <w:rPr>
          <w:rStyle w:val="C3"/>
          <w:rFonts w:ascii="Courier New" w:hAnsi="Courier New"/>
          <w:b w:val="1"/>
        </w:rPr>
      </w:pPr>
    </w:p>
    <w:p>
      <w:pPr>
        <w:pStyle w:val="P7"/>
        <w:jc w:val="center"/>
        <w:rPr>
          <w:rStyle w:val="C3"/>
          <w:rFonts w:ascii="Courier New" w:hAnsi="Courier New"/>
          <w:u w:val="single"/>
        </w:rPr>
      </w:pPr>
      <w:r>
        <w:rPr>
          <w:rStyle w:val="C3"/>
          <w:rFonts w:ascii="Courier New" w:hAnsi="Courier New"/>
          <w:u w:val="single"/>
        </w:rPr>
        <w:t>ANEXO 1</w:t>
      </w:r>
    </w:p>
    <w:p>
      <w:pPr>
        <w:pStyle w:val="P7"/>
        <w:jc w:val="center"/>
        <w:rPr>
          <w:rStyle w:val="C3"/>
          <w:rFonts w:ascii="Courier New" w:hAnsi="Courier New"/>
          <w:b w:val="1"/>
        </w:rPr>
      </w:pPr>
      <w:r>
        <w:rPr>
          <w:rStyle w:val="C3"/>
          <w:rFonts w:ascii="Courier New" w:hAnsi="Courier New"/>
          <w:u w:val="single"/>
        </w:rPr>
        <w:t>PROYECTO DE ACUERDO</w:t>
      </w:r>
    </w:p>
    <w:p>
      <w:pPr>
        <w:pStyle w:val="P7"/>
        <w:rPr>
          <w:rStyle w:val="C3"/>
          <w:rFonts w:ascii="Courier New" w:hAnsi="Courier New"/>
          <w:b w:val="1"/>
        </w:rPr>
      </w:pPr>
    </w:p>
    <w:p>
      <w:pPr>
        <w:pStyle w:val="P7"/>
        <w:rPr>
          <w:rStyle w:val="C3"/>
          <w:rFonts w:ascii="Courier New" w:hAnsi="Courier New"/>
          <w:b w:val="1"/>
        </w:rPr>
      </w:pPr>
    </w:p>
    <w:p>
      <w:pPr>
        <w:pStyle w:val="P8"/>
        <w:rPr>
          <w:rStyle w:val="C3"/>
          <w:rFonts w:ascii="Courier New" w:hAnsi="Courier New"/>
        </w:rPr>
      </w:pPr>
      <w:r>
        <w:rPr>
          <w:rStyle w:val="C3"/>
          <w:rFonts w:ascii="Courier New" w:hAnsi="Courier New"/>
        </w:rPr>
        <w:t xml:space="preserve">En la ciudad de Alta gracia, Departamento Santa María de esta Provincia de Córdoba, a .. días del mes..  . . . del año . . . . . . .; se reúnen por una parte y actuando en nombre y representación de la Municipalidad de Alta Gracia, el Sr. Intendente Municipal, por la otra parte lo hace el Sr. . . . . . . en su carácter de . . . . . . de la Comuna de . . . . . . . . ., en adelante denominados a los fines de éste: ”La Comuna”-,  convienen en celebrar el siguiente acuerdo: </w:t>
      </w:r>
    </w:p>
    <w:p>
      <w:pPr>
        <w:pStyle w:val="P8"/>
        <w:rPr>
          <w:rStyle w:val="C3"/>
          <w:rFonts w:ascii="Courier New" w:hAnsi="Courier New"/>
        </w:rPr>
      </w:pPr>
      <w:r>
        <w:rPr>
          <w:rStyle w:val="C3"/>
          <w:rFonts w:ascii="Courier New" w:hAnsi="Courier New"/>
          <w:b w:val="1"/>
          <w:u w:val="single"/>
        </w:rPr>
        <w:t>PRIMERO</w:t>
      </w:r>
      <w:r>
        <w:rPr>
          <w:rStyle w:val="C3"/>
          <w:rFonts w:ascii="Courier New" w:hAnsi="Courier New"/>
        </w:rPr>
        <w:t xml:space="preserve">: “La Comuna” requiere a la Municipalidad de Alta Gracia, someterse voluntariamente en su ámbito territorial, a la Jurisdicción y competencia de los Tribunales Administrativos de Faltas de ésta y al sólo efecto del juzgamiento de las contravenciones o faltas tipificadas en la Ley Provincial de Tránsito Nº 8560 y su modificatoria Nº 9022, cuya aplicación correspondiere al radio de la Jurisdicción de cada una de ellas, conforme las facultades que les confiere la  Ley Orgánica Municipal N° 8102.-</w:t>
      </w:r>
    </w:p>
    <w:p>
      <w:pPr>
        <w:pStyle w:val="P8"/>
        <w:rPr>
          <w:rStyle w:val="C3"/>
          <w:rFonts w:ascii="Courier New" w:hAnsi="Courier New"/>
        </w:rPr>
      </w:pPr>
      <w:r>
        <w:rPr>
          <w:rStyle w:val="C3"/>
          <w:rFonts w:ascii="Courier New" w:hAnsi="Courier New"/>
        </w:rPr>
        <w:t>“La Comuna” manifiesta haber adherido a los términos de las leyes provinciales mencionadas Nº 8560 y 9022, mediante Resoluciones Publicadas Número . . . de la Comuna de . . . . . . .-</w:t>
      </w:r>
    </w:p>
    <w:p>
      <w:pPr>
        <w:pStyle w:val="P8"/>
        <w:rPr>
          <w:rStyle w:val="C3"/>
          <w:rFonts w:ascii="Courier New" w:hAnsi="Courier New"/>
        </w:rPr>
      </w:pPr>
      <w:r>
        <w:rPr>
          <w:rStyle w:val="C3"/>
          <w:rFonts w:ascii="Courier New" w:hAnsi="Courier New"/>
          <w:b w:val="1"/>
          <w:u w:val="single"/>
        </w:rPr>
        <w:t>SEGUNDO</w:t>
      </w:r>
      <w:r>
        <w:rPr>
          <w:rStyle w:val="C3"/>
          <w:rFonts w:ascii="Courier New" w:hAnsi="Courier New"/>
        </w:rPr>
        <w:t xml:space="preserve">: “Las Comunas” a los fines del presente, deberán producir las Resoluciones (Art.197 y 198 Ley 8102) que fueren menester a los fines de atribuir y reconocer Jurisdicción y Competencia a los Tribunales Administrativos de Faltas de la Ciudad de Alta Gracia, en materia reglada por la Ley 8560 y modificaciones introducidas por la Ley 9022, reconociendo plena legalidad, validez y eficacia a todos los actos procesales, legales y administrativos que emanen de éste como consecuencia de lo establecido en PRIMERO.- Para ello, se comprometen a adoptar y reconocer igual régimen procedimental al vigente en la Municipalidad de Alta Gracia y normado por los Arts. 13 a 51 de la ordenanza Municipal Número 1572 (Procedimiento-Disposiciones Complementarias), y artículos 1 a 30 inclusive de la ordenanza municipal Nº 1967 (Título primero-parte general).- Establécese  en consecuencia, como </w:t>
      </w:r>
    </w:p>
    <w:p>
      <w:pPr>
        <w:pStyle w:val="P8"/>
        <w:rPr>
          <w:rStyle w:val="C3"/>
          <w:rFonts w:ascii="Courier New" w:hAnsi="Courier New"/>
        </w:rPr>
      </w:pPr>
    </w:p>
    <w:p>
      <w:pPr>
        <w:pStyle w:val="P8"/>
        <w:jc w:val="right"/>
        <w:rPr>
          <w:rStyle w:val="C3"/>
          <w:rFonts w:ascii="Courier New" w:hAnsi="Courier New"/>
        </w:rPr>
      </w:pPr>
      <w:r>
        <w:rPr>
          <w:rStyle w:val="C3"/>
          <w:rFonts w:ascii="Courier New" w:hAnsi="Courier New"/>
        </w:rPr>
        <w:t>...///</w:t>
      </w: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r>
        <w:rPr>
          <w:rStyle w:val="C3"/>
          <w:rFonts w:ascii="Courier New" w:hAnsi="Courier New"/>
        </w:rPr>
        <w:t>...///4.-</w:t>
      </w: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r>
        <w:rPr>
          <w:rStyle w:val="C3"/>
          <w:rFonts w:ascii="Courier New" w:hAnsi="Courier New"/>
        </w:rPr>
        <w:t>derecho vigente y aplicable para la tramitación de las causas el del articulado mencionado de las ordenanzas Nº 1572 y 1967.-</w:t>
      </w:r>
    </w:p>
    <w:p>
      <w:pPr>
        <w:pStyle w:val="P8"/>
        <w:rPr>
          <w:rStyle w:val="C3"/>
          <w:rFonts w:ascii="Courier New" w:hAnsi="Courier New"/>
        </w:rPr>
      </w:pPr>
      <w:r>
        <w:rPr>
          <w:rStyle w:val="C3"/>
          <w:rFonts w:ascii="Courier New" w:hAnsi="Courier New"/>
          <w:b w:val="1"/>
          <w:u w:val="single"/>
        </w:rPr>
        <w:t>TERCERO</w:t>
      </w:r>
      <w:r>
        <w:rPr>
          <w:rStyle w:val="C3"/>
          <w:rFonts w:ascii="Courier New" w:hAnsi="Courier New"/>
        </w:rPr>
        <w:t xml:space="preserve">: “La comuna” deberá realizar todas aquellas actividades previas, accesorias, complementarias y/o propias del procedimiento administrativo de faltas que le fueren requeridas mediante Oficio librado en legal forma por el Tribunal: tales como: diligenciar cédulas de notificación, realizar actos de constatación, inspecciones oculares y/o toda otra que le fuere solicitada.- </w:t>
      </w:r>
    </w:p>
    <w:p>
      <w:pPr>
        <w:pStyle w:val="P8"/>
        <w:rPr>
          <w:rStyle w:val="C3"/>
          <w:rFonts w:ascii="Courier New" w:hAnsi="Courier New"/>
        </w:rPr>
      </w:pPr>
      <w:r>
        <w:rPr>
          <w:rStyle w:val="C3"/>
          <w:rFonts w:ascii="Courier New" w:hAnsi="Courier New"/>
        </w:rPr>
        <w:t xml:space="preserve">El diligenciamiento de las actividades requeridas deberá llevarse a cabo en un término no mayor de cinco días hábiles.- La presentación de Actas de constatación ley 8560/9022, deberá formalizarse por ante el Tribunal Administrativo de Faltas de Alta Gracia, al primer día hábil siguiente de haberse efectuado la misma, en aquellos casos en que la presentación inmediata no fuere posible.- </w:t>
      </w:r>
    </w:p>
    <w:p>
      <w:pPr>
        <w:pStyle w:val="P8"/>
        <w:rPr>
          <w:rStyle w:val="C3"/>
          <w:rFonts w:ascii="Courier New" w:hAnsi="Courier New"/>
        </w:rPr>
      </w:pPr>
      <w:r>
        <w:rPr>
          <w:rStyle w:val="C3"/>
          <w:rFonts w:ascii="Courier New" w:hAnsi="Courier New"/>
          <w:b w:val="1"/>
          <w:u w:val="single"/>
        </w:rPr>
        <w:t>CUARTO:</w:t>
      </w:r>
      <w:r>
        <w:rPr>
          <w:rStyle w:val="C3"/>
          <w:rFonts w:ascii="Courier New" w:hAnsi="Courier New"/>
        </w:rPr>
        <w:t xml:space="preserve"> De producirse un secuestro y/o retención preventiva de vehículo, según las causales previstas en la ley 8560/9022; por parte de la autoridad comunal; serán éstas, responsables de la custodia, guarda, depósito y/o tenencia del bien cuyo secuestro y/o retención preventiva se hubiere realizado y por todo el tiempo que fuere menester; como así también deberá arbitrar los medios necesarios a los fines de su traslado y/o custodia; excluyendo al Municipio de Alta Gracia de toda responsabilidad emergente por tal circunstancia.- El vehículo en tales condiciones quedará en guarda en la forma referida, a disposición del Tribunal Administrativo de Faltas de la Ciudad de Alta Gracia.- La orden de entrega emanada del referido, será remitida, para su cumplimiento, por Oficio, al Sr. Jefe Comunal.- En caso de que el vehículo secuestrado y/o retenido no fuera reclamado por el imputado y/o declarado infractor –según corresponda- o bien; aunque habiéndolo hecho, no hubiere acreditado las circunstancias mencionadas en el artículo 110 (ex. art. 76) de la ley 8560/9022 referidas a propiedad y/o legítima tenencia; una vez dictada Resolución firme, en condición de ser ejecutada, y estando el vehículo a disposición del Tribunal de Faltas de Alta Gracia, las actuaciones así labradas, serán remitidas en copia al titular comunal a los fines de la ley 8550, debiendo el Tribunal poner a disposición de la comuna que corresponde, el vehículo de que se trate.-</w:t>
      </w:r>
    </w:p>
    <w:p>
      <w:pPr>
        <w:jc w:val="right"/>
        <w:rPr>
          <w:rStyle w:val="C3"/>
          <w:rFonts w:ascii="Courier New" w:hAnsi="Courier New"/>
          <w:sz w:val="24"/>
        </w:rPr>
      </w:pPr>
      <w:r>
        <w:rPr>
          <w:rStyle w:val="C3"/>
          <w:rFonts w:ascii="Courier New" w:hAnsi="Courier New"/>
          <w:sz w:val="24"/>
        </w:rPr>
        <w:t>...///</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b w:val="1"/>
          <w:sz w:val="24"/>
          <w:u w:val="single"/>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...///5.-</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b w:val="1"/>
          <w:sz w:val="24"/>
          <w:u w:val="single"/>
        </w:rPr>
        <w:t>QUINTO:</w:t>
      </w:r>
      <w:r>
        <w:rPr>
          <w:rStyle w:val="C3"/>
          <w:rFonts w:ascii="Courier New" w:hAnsi="Courier New"/>
          <w:sz w:val="24"/>
        </w:rPr>
        <w:t xml:space="preserve"> “La comuna” recibirá del Tribunal de Faltas de Alta Gracia las instrucciones que fueren menester para la confección de Actas de Constatación Ley 8560/9022; cédulas de notificación, formalidades procedimentales y toda otra que haga al correcto desenvolvimiento de la actividad procesal y sustantiva de faltas.- </w:t>
      </w:r>
    </w:p>
    <w:p>
      <w:pPr>
        <w:jc w:val="both"/>
        <w:rPr>
          <w:rStyle w:val="C3"/>
          <w:rFonts w:ascii="Courier New" w:hAnsi="Courier New"/>
          <w:sz w:val="24"/>
        </w:rPr>
      </w:pPr>
      <w:r>
        <w:rPr>
          <w:rStyle w:val="C3"/>
          <w:rFonts w:ascii="Courier New" w:hAnsi="Courier New"/>
          <w:b w:val="1"/>
          <w:sz w:val="24"/>
          <w:u w:val="single"/>
        </w:rPr>
        <w:t>SEXTO</w:t>
      </w:r>
      <w:r>
        <w:rPr>
          <w:rStyle w:val="C3"/>
          <w:rFonts w:ascii="Courier New" w:hAnsi="Courier New"/>
          <w:sz w:val="24"/>
        </w:rPr>
        <w:t>: En todos los casos que así sea dictaminado en Resolución firme emanada del Tribunal de Faltas de Alta Gracia, la Autoridad Comunal será juez de ejecución para garantizar efectivamente su cumplimiento.- De igual modo, se compromete “La Comuna” a cumplimentar todo otro requerimiento derivado de las necesidades que surjan con motivo del proceso y juzgamiento de faltas, a fin de armonizar en modo eficaz e integral las actuaciones llevadas a cabo.-</w:t>
      </w:r>
    </w:p>
    <w:p>
      <w:pPr>
        <w:jc w:val="both"/>
        <w:rPr>
          <w:rStyle w:val="C3"/>
          <w:rFonts w:ascii="Courier New" w:hAnsi="Courier New"/>
          <w:sz w:val="24"/>
        </w:rPr>
      </w:pPr>
      <w:r>
        <w:rPr>
          <w:rStyle w:val="C3"/>
          <w:rFonts w:ascii="Courier New" w:hAnsi="Courier New"/>
          <w:b w:val="1"/>
          <w:sz w:val="24"/>
          <w:u w:val="single"/>
        </w:rPr>
        <w:t>SÉPTIMO</w:t>
      </w:r>
      <w:r>
        <w:rPr>
          <w:rStyle w:val="C3"/>
          <w:rFonts w:ascii="Courier New" w:hAnsi="Courier New"/>
          <w:sz w:val="24"/>
        </w:rPr>
        <w:t>: Siendo que el artículo 8º de la ley 8560(t.o Ley 9022), no prevé la presente hipótesis, en caso de constataciones efectuadas en jurisdicción propia y por personal propio de “la Comuna”, el producido y/o recaudado efectivamente en concepto de multa, se distribuirá de la siguiente manera: el . . . . (. . %) para Municipalidad de Alta Gracia, el . . . .(. . %) para “la Comuna” correspondiente.- Producido el ingreso del monto abonado en concepto de multa en el Municipio, “la comuna” deberá presentarse por ante Secretaría de Economía y Finanzas de la Municipalidad de Alta Gracia, para su percepción.- En caso del Art. 48 de la Ordenanza N° 1572 (Procedimiento de Ejecución Civil para el Cobro), los expedientes con Resolución firme emanada del Tribunal de Faltas Municipal con sanción de multa, serán remitidos en la forma allí mencionada, en procuración, debiendo respetarse una vez abonados, los porcentajes establecidos precedentemente, deducidos los gastos.-</w:t>
      </w:r>
    </w:p>
    <w:p>
      <w:pPr>
        <w:jc w:val="both"/>
        <w:rPr>
          <w:rStyle w:val="C3"/>
          <w:rFonts w:ascii="Courier New" w:hAnsi="Courier New"/>
          <w:sz w:val="24"/>
        </w:rPr>
      </w:pPr>
      <w:r>
        <w:rPr>
          <w:rStyle w:val="C3"/>
          <w:rFonts w:ascii="Courier New" w:hAnsi="Courier New"/>
          <w:b w:val="1"/>
          <w:sz w:val="24"/>
          <w:u w:val="single"/>
        </w:rPr>
        <w:t>OCTAVO</w:t>
      </w:r>
      <w:r>
        <w:rPr>
          <w:rStyle w:val="C3"/>
          <w:rFonts w:ascii="Courier New" w:hAnsi="Courier New"/>
          <w:sz w:val="24"/>
        </w:rPr>
        <w:t>: ”La Comuna” deberá producir las Resoluciones y efectuar las Publicaciones que fueren menester a fin de dar plena vigencia y validez en el ámbito de su jurisdicción y competencia a la normativa especificada en la cláusula SEGUNDO y a la Ley 8560 y Ley 9022 y la necesaria para reconocer la jurisdicción y competencia de los Tribunales de Faltas de Alta Gracia (Ley 8102).- Deberán así acreditarlo, adjuntando en el término de . . días a partir de la firma del presente, la documentación pertinente.-</w:t>
      </w:r>
    </w:p>
    <w:p>
      <w:pPr>
        <w:pStyle w:val="P7"/>
        <w:rPr>
          <w:rStyle w:val="C3"/>
          <w:rFonts w:ascii="Courier New" w:hAnsi="Courier New"/>
          <w:b w:val="1"/>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independiente 2"/>
    <w:basedOn w:val="P0"/>
    <w:next w:val="P8"/>
    <w:pPr>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2004-01-05T13:06:00Z</dcterms:created>
  <cp:lastModifiedBy>Ethan Puglia</cp:lastModifiedBy>
  <cp:lastPrinted>2004-01-05T16:59:00Z</cp:lastPrinted>
  <dcterms:modified xsi:type="dcterms:W3CDTF">2019-03-28T17:34:03Z</dcterms:modified>
  <cp:revision>52</cp:revision>
  <dc:title>ORDENANZA  Nº  5354</dc:title>
</cp:coreProperties>
</file>