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7533F4" Type="http://schemas.openxmlformats.org/officeDocument/2006/relationships/officeDocument" Target="/word/document.xml" /><Relationship Id="coreR1D7533F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 6871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Nº 1030/02 iniciado con nota de la Sra. María Mercedes del Rosario Molina;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peticionante solicita exención de deuda y Tasa Social por Servicios a la Propiedad;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separada y tiene a su cargo un hijo internado en el Cotolengo Don Orione desde hace 40 años, manteniendo importantes gastos semanales fijos;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 bien  la misma no es la propietaria en cuestión, por lo observado sería la única heredera ya que el inmueble pertenecía a la hermana fallecida, soltera, sin hijos y a cargo de la solicitante;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18 el Director de Ingresos Públicos manifiesta que vistos los ingresos que posee la peticionante y lo que significa no solo emocional sino económicamente mantener un hijo internado en un Cotolengo durante cuarenta (40) años, se proceda a dar curso favorable al presente pedido;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15 de abril de 2004.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ALTA GRACIA SANCIONA CON FUERZA DE ORDENANZA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 xml:space="preserve">la deuda en un CIENTO POR CIENTO (100%) no    prescripta al 31 de diciembre de 2003 que en concepto de Tasa por Servicios a la Propiedad mantiene el inmueble designación catastral 01-01-071-023.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</w:t>
      </w:r>
      <w:r>
        <w:rPr>
          <w:rStyle w:val="C3"/>
          <w:b w:val="1"/>
          <w:sz w:val="24"/>
          <w:u w:val="single"/>
        </w:rPr>
        <w:t>rt</w:t>
      </w:r>
      <w:r>
        <w:rPr>
          <w:rStyle w:val="C3"/>
          <w:b w:val="1"/>
          <w:sz w:val="24"/>
          <w:u w:val="single"/>
        </w:rPr>
        <w:t>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como cuota mensual a abonar en concepto de Tasa por Servicios a la Propiedad al mencionado inmueble, el monto que fijará la Dirección de Ingresos Públicos beneficiando a la peticionante con el descuento por jubilado.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deje sin efecto cualquier gestión tendiente al cobro de la deuda.</w:t>
      </w: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QUINCE DIAS DEL MES DE ABRIL DEL AÑO DOS MIL CUATRO.</w:t>
      </w:r>
    </w:p>
    <w:sectPr>
      <w:type w:val="nextPage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2004-04-20T05:48:00Z</dcterms:created>
  <cp:lastModifiedBy>Ethan Puglia</cp:lastModifiedBy>
  <cp:lastPrinted>2004-04-27T16:45:00Z</cp:lastPrinted>
  <dcterms:modified xsi:type="dcterms:W3CDTF">2019-03-28T17:34:03Z</dcterms:modified>
  <cp:revision>5</cp:revision>
  <dc:title>1¾   «        M</dc:title>
</cp:coreProperties>
</file>