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27281F" Type="http://schemas.openxmlformats.org/officeDocument/2006/relationships/officeDocument" Target="/word/document.xml" /><Relationship Id="coreR2F2728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 6873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1740/02 iniciado con nota de la Sra. Graciela Noemí Contreras de Varas;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peticionante solicita eximición de Tasa por Servicio a la Propiedad de la designación catastral Nº03-01-295-011-000;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obrante a fs.13 revela que se trata de una familia numerosa, con ambos cónyuges desocupados y con ingresos ínfimos por parte de algunos de sus hijos;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el beneficio de la Ordenanza Nº5485 Art.3, despacho aprobado por unanimidad de fecha 15 de abril de 2004.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 OTORGAR </w:t>
      </w:r>
      <w:r>
        <w:rPr>
          <w:rStyle w:val="C3"/>
          <w:sz w:val="24"/>
        </w:rPr>
        <w:t>el beneficio de la Ordenanza 5485 Art.3, a la designación catastral Nº03-01-295-011-000, fijándole una cuota mensual en concepto de Tasa por servicio a la Propiedad de PESOS TRES ($3.-) desde la promulgación de la presente hasta diciembre del año 2005.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POR </w:t>
      </w:r>
      <w:r>
        <w:rPr>
          <w:rStyle w:val="C3"/>
          <w:sz w:val="24"/>
        </w:rPr>
        <w:t>cuota abonada en término conforme a lo establecido en el Art.2, eximir de una (1) cuota de la deuda no eximida en el Art.1, en forma correlativa.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EN </w:t>
      </w:r>
      <w:r>
        <w:rPr>
          <w:rStyle w:val="C3"/>
          <w:sz w:val="24"/>
        </w:rPr>
        <w:t>caso de cambio en su situación socioeconómica este beneficio caducará automáticamente a partir de la verificación del cambio.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QUINCE DIAS DEL MES DE ABRIL DEL AÑO DOS MIL CUATRO.</w:t>
      </w:r>
    </w:p>
    <w:sectPr>
      <w:type w:val="nextPage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2004-04-21T03:47:00Z</dcterms:created>
  <cp:lastModifiedBy>Ethan Puglia</cp:lastModifiedBy>
  <cp:lastPrinted>2004-05-04T10:51:00Z</cp:lastPrinted>
  <dcterms:modified xsi:type="dcterms:W3CDTF">2019-03-28T17:34:03Z</dcterms:modified>
  <cp:revision>13</cp:revision>
  <dc:title>1¾   «        M</dc:title>
</cp:coreProperties>
</file>