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8BBDAAC" Type="http://schemas.openxmlformats.org/officeDocument/2006/relationships/officeDocument" Target="/word/document.xml" /><Relationship Id="coreR8BBDAA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lineRule="auto" w:line="240"/>
        <w:rPr>
          <w:rStyle w:val="C3"/>
          <w:rFonts w:ascii="Courier New" w:hAnsi="Courier New"/>
          <w:u w:val="single"/>
        </w:rPr>
      </w:pPr>
      <w:r>
        <w:rPr>
          <w:rStyle w:val="C3"/>
          <w:rFonts w:ascii="Courier New" w:hAnsi="Courier New"/>
          <w:u w:val="single"/>
        </w:rPr>
        <w:t>ORDENANZA Nº 7117</w:t>
      </w:r>
    </w:p>
    <w:p>
      <w:pPr>
        <w:pStyle w:val="P4"/>
        <w:spacing w:lineRule="auto" w:line="240"/>
        <w:rPr>
          <w:rStyle w:val="C3"/>
          <w:rFonts w:ascii="Courier New" w:hAnsi="Courier New"/>
          <w:u w:val="single"/>
        </w:rPr>
      </w:pPr>
    </w:p>
    <w:p>
      <w:pPr>
        <w:rPr>
          <w:rStyle w:val="C3"/>
          <w:b w:val="1"/>
          <w:sz w:val="28"/>
        </w:rPr>
      </w:pPr>
    </w:p>
    <w:p>
      <w:pPr>
        <w:ind w:hanging="540" w:left="540"/>
        <w:jc w:val="both"/>
        <w:rPr>
          <w:rStyle w:val="C3"/>
          <w:b w:val="1"/>
          <w:sz w:val="28"/>
        </w:rPr>
      </w:pPr>
      <w:r>
        <w:rPr>
          <w:rStyle w:val="C3"/>
          <w:rFonts w:ascii="Courier New" w:hAnsi="Courier New"/>
        </w:rPr>
        <w:t>Visto: El Proyecto de Ordenanza presentado por el Departamento Ejecutivo, referido al “Régimen de Promoción y Desarrollo Turístico”; y</w:t>
      </w:r>
      <w:r>
        <w:rPr>
          <w:rStyle w:val="C3"/>
          <w:b w:val="1"/>
          <w:sz w:val="28"/>
        </w:rPr>
        <w:t xml:space="preserve"> </w:t>
      </w:r>
    </w:p>
    <w:p>
      <w:pPr>
        <w:jc w:val="both"/>
        <w:rPr>
          <w:rStyle w:val="C3"/>
          <w:b w:val="1"/>
          <w:sz w:val="28"/>
        </w:rPr>
      </w:pPr>
    </w:p>
    <w:p>
      <w:pPr>
        <w:rPr>
          <w:rStyle w:val="C3"/>
          <w:b w:val="1"/>
          <w:sz w:val="28"/>
        </w:rPr>
      </w:pPr>
    </w:p>
    <w:p>
      <w:pPr>
        <w:jc w:val="center"/>
        <w:rPr>
          <w:rStyle w:val="C3"/>
          <w:rFonts w:ascii="Courier New" w:hAnsi="Courier New"/>
          <w:b w:val="1"/>
        </w:rPr>
      </w:pPr>
      <w:r>
        <w:rPr>
          <w:rStyle w:val="C3"/>
          <w:rFonts w:ascii="Courier New" w:hAnsi="Courier New"/>
          <w:b w:val="1"/>
        </w:rPr>
        <w:t>C O N S I D E R A N D O</w:t>
      </w:r>
    </w:p>
    <w:p>
      <w:pPr>
        <w:rPr>
          <w:rStyle w:val="C3"/>
          <w:b w:val="1"/>
          <w:sz w:val="28"/>
        </w:rPr>
      </w:pPr>
    </w:p>
    <w:p>
      <w:pPr>
        <w:jc w:val="center"/>
        <w:rPr>
          <w:rStyle w:val="C3"/>
          <w:b w:val="1"/>
          <w:sz w:val="28"/>
        </w:rPr>
      </w:pPr>
    </w:p>
    <w:p>
      <w:pPr>
        <w:ind w:left="720"/>
        <w:jc w:val="both"/>
        <w:rPr>
          <w:rStyle w:val="C3"/>
          <w:rFonts w:ascii="Courier New" w:hAnsi="Courier New"/>
        </w:rPr>
      </w:pPr>
      <w:r>
        <w:rPr>
          <w:rStyle w:val="C3"/>
          <w:rFonts w:ascii="Courier New" w:hAnsi="Courier New"/>
        </w:rPr>
        <w:t xml:space="preserve">Que la Ordenanza N° 1616 contempla los requerimientos de la Ley Provincial Nº 7232 “Régimen de Promoción y Desarrollo Turístico de la Provincia de Córdoba”; </w:t>
      </w:r>
    </w:p>
    <w:p>
      <w:pPr>
        <w:ind w:left="720"/>
        <w:jc w:val="both"/>
        <w:rPr>
          <w:rStyle w:val="C3"/>
          <w:rFonts w:ascii="Courier New" w:hAnsi="Courier New"/>
        </w:rPr>
      </w:pPr>
    </w:p>
    <w:p>
      <w:pPr>
        <w:pStyle w:val="P7"/>
      </w:pPr>
      <w:r>
        <w:t>Que se encuentran plenamente vigentes los considerandos expresados en dicha Ordenanza;</w:t>
      </w:r>
    </w:p>
    <w:p>
      <w:pPr>
        <w:ind w:left="720"/>
        <w:jc w:val="both"/>
        <w:rPr>
          <w:rStyle w:val="C3"/>
          <w:rFonts w:ascii="Courier New" w:hAnsi="Courier New"/>
        </w:rPr>
      </w:pPr>
    </w:p>
    <w:p>
      <w:pPr>
        <w:pStyle w:val="P7"/>
      </w:pPr>
      <w:r>
        <w:t>Que es necesario dotar a la ciudad de un instrumento legal que ofrezca claridad, a la hora de evaluar los apoyos a las inversiones en turismo;</w:t>
      </w:r>
    </w:p>
    <w:p>
      <w:pPr>
        <w:pStyle w:val="P7"/>
      </w:pPr>
    </w:p>
    <w:p>
      <w:pPr>
        <w:pStyle w:val="P7"/>
      </w:pPr>
      <w:r>
        <w:t>Que la Carta Orgánica Municipal establece como una de sus políticas permanentes la del turismo y dentro de ella la actividad de promoción de la misma;</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se deben incorporar nuevos instrumentos de promoción acordes con el incremento de interés en las inversiones turísticas a realizar en nuestra ciudad;</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es importante el esfuerzo que realiza el Estado Municipal al otorgar exenciones impositivas a privados para sus proyectos, y las mismas deben retornar en beneficios para toda la comunidad;</w:t>
      </w:r>
    </w:p>
    <w:p>
      <w:pPr>
        <w:ind w:left="720"/>
        <w:jc w:val="both"/>
        <w:rPr>
          <w:rStyle w:val="C3"/>
          <w:rFonts w:ascii="Courier New" w:hAnsi="Courier New"/>
        </w:rPr>
      </w:pPr>
    </w:p>
    <w:p>
      <w:pPr>
        <w:pStyle w:val="P2"/>
        <w:ind w:left="720"/>
        <w:jc w:val="both"/>
        <w:rPr>
          <w:rStyle w:val="C3"/>
          <w:rFonts w:ascii="Courier New" w:hAnsi="Courier New"/>
          <w:b w:val="1"/>
          <w:sz w:val="24"/>
        </w:rPr>
      </w:pPr>
      <w:r>
        <w:rPr>
          <w:rStyle w:val="C3"/>
          <w:rFonts w:ascii="Courier New" w:hAnsi="Courier New"/>
          <w:b w:val="0"/>
          <w:sz w:val="24"/>
        </w:rPr>
        <w:t xml:space="preserve">Que la Ley Provincial Nº 7232 expresa que las Municipalidades de la Provincia podrán adherirse al régimen de esta ley, y que en tal  caso cada Municipio determinará los beneficios a otorgar en esas jurisd</w:t>
      </w:r>
      <w:r>
        <w:rPr>
          <w:rStyle w:val="C3"/>
          <w:rFonts w:ascii="Courier New" w:hAnsi="Courier New"/>
          <w:b w:val="0"/>
          <w:sz w:val="24"/>
        </w:rPr>
        <w:t>icciones;</w:t>
      </w:r>
    </w:p>
    <w:p>
      <w:pPr>
        <w:ind w:left="720"/>
        <w:rPr>
          <w:rStyle w:val="C3"/>
          <w:rFonts w:ascii="Courier New" w:hAnsi="Courier New"/>
        </w:rPr>
      </w:pPr>
    </w:p>
    <w:p>
      <w:pPr>
        <w:pStyle w:val="P6"/>
        <w:ind w:left="720"/>
      </w:pPr>
      <w:r>
        <w:t xml:space="preserve">Que debemos pensar como importante la posibilidad de efectuar emprendimientos turísticos  que den oportunidad laboral y comercial a los habitantes de la ciudad de Alta Gracia;</w:t>
      </w:r>
    </w:p>
    <w:p>
      <w:pPr>
        <w:ind w:left="720"/>
        <w:jc w:val="right"/>
        <w:rPr>
          <w:rStyle w:val="C3"/>
          <w:rFonts w:ascii="Courier New" w:hAnsi="Courier New"/>
        </w:rPr>
      </w:pPr>
      <w:r>
        <w:rPr>
          <w:rStyle w:val="C3"/>
          <w:rFonts w:ascii="Courier New" w:hAnsi="Courier New"/>
        </w:rPr>
        <w:t>...///</w:t>
      </w:r>
    </w:p>
    <w:p>
      <w:pPr>
        <w:ind w:left="720"/>
        <w:jc w:val="right"/>
        <w:rPr>
          <w:rStyle w:val="C3"/>
          <w:rFonts w:ascii="Courier New" w:hAnsi="Courier New"/>
        </w:rPr>
      </w:pPr>
    </w:p>
    <w:p>
      <w:pPr>
        <w:ind w:left="720"/>
        <w:rPr>
          <w:rStyle w:val="C3"/>
          <w:rFonts w:ascii="Courier New" w:hAnsi="Courier New"/>
        </w:rPr>
      </w:pPr>
    </w:p>
    <w:p>
      <w:pPr>
        <w:ind w:left="720"/>
        <w:rPr>
          <w:rStyle w:val="C3"/>
          <w:rFonts w:ascii="Courier New" w:hAnsi="Courier New"/>
        </w:rPr>
      </w:pPr>
    </w:p>
    <w:p>
      <w:pPr>
        <w:ind w:left="720"/>
        <w:rPr>
          <w:rStyle w:val="C3"/>
          <w:rFonts w:ascii="Courier New" w:hAnsi="Courier New"/>
        </w:rPr>
      </w:pPr>
    </w:p>
    <w:p>
      <w:pPr>
        <w:ind w:left="720"/>
        <w:rPr>
          <w:rStyle w:val="C3"/>
          <w:rFonts w:ascii="Courier New" w:hAnsi="Courier New"/>
        </w:rPr>
      </w:pPr>
    </w:p>
    <w:p>
      <w:pPr>
        <w:rPr>
          <w:rStyle w:val="C3"/>
          <w:rFonts w:ascii="Courier New" w:hAnsi="Courier New"/>
        </w:rPr>
      </w:pPr>
    </w:p>
    <w:p>
      <w:pPr>
        <w:ind w:hanging="720" w:left="720"/>
        <w:rPr>
          <w:rStyle w:val="C3"/>
          <w:rFonts w:ascii="Courier New" w:hAnsi="Courier New"/>
        </w:rPr>
      </w:pPr>
      <w:r>
        <w:rPr>
          <w:rStyle w:val="C3"/>
          <w:rFonts w:ascii="Courier New" w:hAnsi="Courier New"/>
        </w:rPr>
        <w:t>...///2.-</w:t>
      </w:r>
    </w:p>
    <w:p>
      <w:pPr>
        <w:pStyle w:val="P1"/>
        <w:ind w:left="720"/>
        <w:jc w:val="both"/>
        <w:rPr>
          <w:rStyle w:val="C3"/>
          <w:rFonts w:ascii="Courier New" w:hAnsi="Courier New"/>
          <w:b w:val="1"/>
          <w:sz w:val="24"/>
        </w:rPr>
      </w:pPr>
      <w:r>
        <w:rPr>
          <w:rStyle w:val="C3"/>
          <w:rFonts w:ascii="Courier New" w:hAnsi="Courier New"/>
          <w:b w:val="0"/>
          <w:sz w:val="24"/>
        </w:rPr>
        <w:t>Que evaluado el contenido del Proyecto de Orde</w:t>
      </w:r>
      <w:r>
        <w:rPr>
          <w:rStyle w:val="C3"/>
          <w:rFonts w:ascii="Courier New" w:hAnsi="Courier New"/>
          <w:b w:val="0"/>
          <w:sz w:val="24"/>
        </w:rPr>
        <w:t>nanza por la Comisión de Cultura, Turismo y Deportes, la misma emite despacho favorable con modificaciones, el cual es aprobado por unanimidad en Sesión Ordinaria de fecha 18 de noviembre de 2004.</w:t>
      </w:r>
    </w:p>
    <w:p>
      <w:pPr>
        <w:rPr>
          <w:rStyle w:val="C3"/>
          <w:rFonts w:ascii="Courier New" w:hAnsi="Courier New"/>
        </w:rPr>
      </w:pPr>
    </w:p>
    <w:p>
      <w:pPr>
        <w:pStyle w:val="P2"/>
        <w:jc w:val="left"/>
        <w:rPr>
          <w:rStyle w:val="C3"/>
          <w:rFonts w:ascii="Courier New" w:hAnsi="Courier New"/>
          <w:b w:val="1"/>
          <w:sz w:val="24"/>
        </w:rPr>
      </w:pPr>
    </w:p>
    <w:p>
      <w:pPr>
        <w:pStyle w:val="P2"/>
        <w:rPr>
          <w:rStyle w:val="C3"/>
          <w:rFonts w:ascii="Courier New" w:hAnsi="Courier New"/>
          <w:sz w:val="24"/>
        </w:rPr>
      </w:pPr>
      <w:r>
        <w:rPr>
          <w:rStyle w:val="C3"/>
          <w:rFonts w:ascii="Courier New" w:hAnsi="Courier New"/>
          <w:sz w:val="24"/>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w:t>
      </w:r>
      <w:r>
        <w:rPr>
          <w:rStyle w:val="C3"/>
          <w:rFonts w:ascii="Courier New" w:hAnsi="Courier New"/>
          <w:b w:val="1"/>
        </w:rPr>
        <w:t>RACIA SANCIONA CON FUERZA DE ORDENANZA</w:t>
      </w:r>
    </w:p>
    <w:p>
      <w:pPr>
        <w:jc w:val="both"/>
        <w:rPr>
          <w:rStyle w:val="C3"/>
          <w:rFonts w:ascii="Courier New" w:hAnsi="Courier New"/>
          <w:b w:val="1"/>
        </w:rPr>
      </w:pPr>
      <w:r>
        <w:rPr>
          <w:rStyle w:val="C3"/>
          <w:rFonts w:ascii="Courier New" w:hAnsi="Courier New"/>
          <w:b w:val="1"/>
        </w:rPr>
        <w:t xml:space="preserve"> </w:t>
      </w:r>
    </w:p>
    <w:p>
      <w:pPr>
        <w:jc w:val="both"/>
        <w:rPr>
          <w:rStyle w:val="C3"/>
          <w:rFonts w:ascii="Courier New" w:hAnsi="Courier New"/>
          <w:b w:val="1"/>
        </w:rPr>
      </w:pPr>
    </w:p>
    <w:p>
      <w:pPr>
        <w:ind w:hanging="720" w:left="720"/>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ESTABLÉZCASE</w:t>
      </w:r>
      <w:r>
        <w:rPr>
          <w:rStyle w:val="C3"/>
          <w:rFonts w:ascii="Courier New" w:hAnsi="Courier New"/>
        </w:rPr>
        <w:t xml:space="preserve"> el Régimen de Promoción y Desarrollo Turístico de la ciudad de Alta Gracia, de acuerdo a los alcances de la presente Ordenanza. </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ADHIÉRASE</w:t>
      </w:r>
      <w:r>
        <w:rPr>
          <w:rStyle w:val="C3"/>
          <w:rFonts w:ascii="Courier New" w:hAnsi="Courier New"/>
        </w:rPr>
        <w:t xml:space="preserve"> a la Ley Provincial Nº 6483 de Régimen de Actividades de Interés Turístico Especial y su Decreto Reglamentario Nº 1359/00, sancionada por el Gobierno de la Provincia de Córdoba.</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PROMUÉVANSE</w:t>
      </w:r>
      <w:r>
        <w:rPr>
          <w:rStyle w:val="C3"/>
          <w:rFonts w:ascii="Courier New" w:hAnsi="Courier New"/>
        </w:rPr>
        <w:t xml:space="preserve"> a los fines de la presente Ordenanza  las siguientes acciones de conformidad con ésta y su Reglamentación:</w:t>
      </w:r>
    </w:p>
    <w:p>
      <w:pPr>
        <w:numPr>
          <w:ilvl w:val="0"/>
          <w:numId w:val="1"/>
        </w:numPr>
        <w:tabs>
          <w:tab w:val="clear" w:pos="720" w:leader="none"/>
          <w:tab w:val="left" w:pos="1080" w:leader="none"/>
        </w:tabs>
        <w:ind w:firstLine="0"/>
        <w:jc w:val="both"/>
        <w:rPr>
          <w:rStyle w:val="C3"/>
          <w:rFonts w:ascii="Courier New" w:hAnsi="Courier New"/>
        </w:rPr>
      </w:pPr>
      <w:r>
        <w:rPr>
          <w:rStyle w:val="C3"/>
          <w:rFonts w:ascii="Courier New" w:hAnsi="Courier New"/>
        </w:rPr>
        <w:t xml:space="preserve">La construcción y equipamiento de establecimientos nuevos destinados a la explotación de los alojamientos turísticos de dos (2), tres (3), cuatro (4) y cinco (5)  estrellas, los mismos deberán encuadrarse dentro de alguna de las “clases” y “categorías” establecidas en la Ley Provincial Nº 6483 y su Decreto Reglamentario Nº 1359/00, y estar inscriptos en el Registro Hotelero de la Provincia de Córdoba.</w:t>
      </w:r>
    </w:p>
    <w:p>
      <w:pPr>
        <w:pStyle w:val="P6"/>
        <w:ind w:left="720"/>
      </w:pPr>
      <w:r>
        <w:t>El mismo criterio se aplicará para aquellos establecimientos no categorizados, fijados en la ley antes mencionada.</w:t>
      </w:r>
    </w:p>
    <w:p>
      <w:pPr>
        <w:ind w:left="720"/>
        <w:jc w:val="both"/>
        <w:rPr>
          <w:rStyle w:val="C3"/>
          <w:rFonts w:ascii="Courier New" w:hAnsi="Courier New"/>
        </w:rPr>
      </w:pPr>
      <w:r>
        <w:rPr>
          <w:rStyle w:val="C3"/>
          <w:rFonts w:ascii="Courier New" w:hAnsi="Courier New"/>
        </w:rPr>
        <w:t>Entiéndase por “Establecimientos Nuevos” a aquellos que al tiempo de sanción de la presente Ordenanza, no tuvieran existencia física o que teniéndola nunca explotaron la actividad específica de alojamiento turístico.</w:t>
      </w:r>
    </w:p>
    <w:p>
      <w:pPr>
        <w:jc w:val="right"/>
        <w:rPr>
          <w:rStyle w:val="C3"/>
          <w:rFonts w:ascii="Courier New" w:hAnsi="Courier New"/>
        </w:rPr>
      </w:pPr>
      <w:r>
        <w:rPr>
          <w:rStyle w:val="C3"/>
          <w:rFonts w:ascii="Courier New" w:hAnsi="Courier New"/>
        </w:rPr>
        <w:t>...///</w:t>
      </w:r>
    </w:p>
    <w:p>
      <w:pPr>
        <w:ind w:left="720"/>
        <w:jc w:val="right"/>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rPr>
          <w:rStyle w:val="C3"/>
          <w:rFonts w:ascii="Courier New" w:hAnsi="Courier New"/>
        </w:rPr>
      </w:pPr>
      <w:r>
        <w:rPr>
          <w:rStyle w:val="C3"/>
          <w:rFonts w:ascii="Courier New" w:hAnsi="Courier New"/>
        </w:rPr>
        <w:t>...///3.-</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Exceptúase de los beneficios previstos en este inciso a los llamados “Hoteles Alojamientos”, “Por Hora”, o “Albergues Transitorios”.</w:t>
      </w:r>
    </w:p>
    <w:p>
      <w:pPr>
        <w:jc w:val="both"/>
        <w:rPr>
          <w:rStyle w:val="C3"/>
          <w:rFonts w:ascii="Courier New" w:hAnsi="Courier New"/>
        </w:rPr>
      </w:pPr>
    </w:p>
    <w:p>
      <w:pPr>
        <w:numPr>
          <w:ilvl w:val="0"/>
          <w:numId w:val="1"/>
        </w:numPr>
        <w:tabs>
          <w:tab w:val="clear" w:pos="720" w:leader="none"/>
          <w:tab w:val="left" w:pos="1080" w:leader="none"/>
        </w:tabs>
        <w:ind w:firstLine="0"/>
        <w:jc w:val="both"/>
        <w:rPr>
          <w:rStyle w:val="C3"/>
          <w:rFonts w:ascii="Courier New" w:hAnsi="Courier New"/>
        </w:rPr>
      </w:pPr>
      <w:r>
        <w:rPr>
          <w:rStyle w:val="C3"/>
          <w:rFonts w:ascii="Courier New" w:hAnsi="Courier New"/>
        </w:rPr>
        <w:t>La reforma, ampliación, mejora y equipamiento de los establecimientos existentes a que se refiere el artículo precedente, que impliquen un cambio jerarquizado en la categoría del negocio según lo establecido en la Ley Nº 6483 y su Reglamentación.</w:t>
      </w:r>
    </w:p>
    <w:p>
      <w:pPr>
        <w:tabs>
          <w:tab w:val="left" w:pos="1080" w:leader="none"/>
        </w:tabs>
        <w:ind w:left="720"/>
        <w:jc w:val="both"/>
        <w:rPr>
          <w:rStyle w:val="C3"/>
          <w:rFonts w:ascii="Courier New" w:hAnsi="Courier New"/>
        </w:rPr>
      </w:pPr>
      <w:r>
        <w:rPr>
          <w:rStyle w:val="C3"/>
          <w:rFonts w:ascii="Courier New" w:hAnsi="Courier New"/>
        </w:rPr>
        <w:t>Lo mismo sucederá en la reforma, ampliación, mejora y equipamiento de los establecimientos existentes de una (1) estrella, que implique un cambio jerarquizado en la categoría del negocio según lo establecido en la Ley Nº 6483 y su Reglamentación, logrando ser de categoría dos (2), tres (3), cuatro (4) y/o cinco (5) estrellas.</w:t>
      </w:r>
    </w:p>
    <w:p>
      <w:pPr>
        <w:tabs>
          <w:tab w:val="left" w:pos="1080" w:leader="none"/>
        </w:tabs>
        <w:ind w:left="720"/>
        <w:jc w:val="both"/>
        <w:rPr>
          <w:rStyle w:val="C3"/>
          <w:rFonts w:ascii="Courier New" w:hAnsi="Courier New"/>
        </w:rPr>
      </w:pPr>
      <w:r>
        <w:rPr>
          <w:rStyle w:val="C3"/>
          <w:rFonts w:ascii="Courier New" w:hAnsi="Courier New"/>
        </w:rPr>
        <w:t>Exceptúase de los beneficios establecidos en este inciso a los llamados “Hoteles Alojamientos”, “Por Hora”, o “Albergues Transitorios”.</w:t>
      </w:r>
    </w:p>
    <w:p>
      <w:pPr>
        <w:jc w:val="both"/>
        <w:rPr>
          <w:rStyle w:val="C3"/>
          <w:rFonts w:ascii="Courier New" w:hAnsi="Courier New"/>
        </w:rPr>
      </w:pPr>
    </w:p>
    <w:p>
      <w:pPr>
        <w:numPr>
          <w:ilvl w:val="0"/>
          <w:numId w:val="1"/>
        </w:numPr>
        <w:tabs>
          <w:tab w:val="clear" w:pos="720" w:leader="none"/>
          <w:tab w:val="left" w:pos="1080" w:leader="none"/>
        </w:tabs>
        <w:ind w:firstLine="0"/>
        <w:jc w:val="both"/>
        <w:rPr>
          <w:rStyle w:val="C3"/>
          <w:rFonts w:ascii="Courier New" w:hAnsi="Courier New"/>
        </w:rPr>
      </w:pPr>
      <w:r>
        <w:rPr>
          <w:rStyle w:val="C3"/>
          <w:rFonts w:ascii="Courier New" w:hAnsi="Courier New"/>
        </w:rPr>
        <w:t>La reforma, ampliación, mejora y equipamiento de los establecimientos existentes no categorizados, establecidos por la Ley Nº 6483 y su Reglamentación.</w:t>
      </w:r>
    </w:p>
    <w:p>
      <w:pPr>
        <w:tabs>
          <w:tab w:val="left" w:pos="1080" w:leader="none"/>
        </w:tabs>
        <w:ind w:left="720"/>
        <w:jc w:val="both"/>
        <w:rPr>
          <w:rStyle w:val="C3"/>
          <w:rFonts w:ascii="Courier New" w:hAnsi="Courier New"/>
        </w:rPr>
      </w:pPr>
      <w:r>
        <w:rPr>
          <w:rStyle w:val="C3"/>
          <w:rFonts w:ascii="Courier New" w:hAnsi="Courier New"/>
        </w:rPr>
        <w:t>Exceptúase de los beneficios establecidos en este inciso a los llamados “Hoteles Alojamiento”, “Por Hora”, o “Albergues Transitorios”.</w:t>
      </w:r>
    </w:p>
    <w:p>
      <w:pPr>
        <w:jc w:val="both"/>
        <w:rPr>
          <w:rStyle w:val="C3"/>
          <w:rFonts w:ascii="Courier New" w:hAnsi="Courier New"/>
        </w:rPr>
      </w:pPr>
    </w:p>
    <w:p>
      <w:pPr>
        <w:numPr>
          <w:ilvl w:val="0"/>
          <w:numId w:val="1"/>
        </w:numPr>
        <w:tabs>
          <w:tab w:val="clear" w:pos="720" w:leader="none"/>
          <w:tab w:val="left" w:pos="1080" w:leader="none"/>
        </w:tabs>
        <w:ind w:firstLine="0"/>
        <w:jc w:val="both"/>
        <w:rPr>
          <w:rStyle w:val="C3"/>
          <w:rFonts w:ascii="Courier New" w:hAnsi="Courier New"/>
        </w:rPr>
      </w:pPr>
      <w:r>
        <w:rPr>
          <w:rStyle w:val="C3"/>
          <w:rFonts w:ascii="Courier New" w:hAnsi="Courier New"/>
        </w:rPr>
        <w:t>La reforma, ampliación, mejora y equipamiento de los establecimientos existentes no inscriptos en el Registro Hotelero Provincial y por ende no avalados por la Ley Nº 6483 y su Reglamentación, que impliquen la inscripción en el citado Registro y la categorización o no categorización referida en el inciso a), establecida en la Ley mencionada y su Reglamentación.</w:t>
      </w:r>
    </w:p>
    <w:p>
      <w:pPr>
        <w:tabs>
          <w:tab w:val="left" w:pos="1080" w:leader="none"/>
        </w:tabs>
        <w:ind w:left="720"/>
        <w:jc w:val="both"/>
        <w:rPr>
          <w:rStyle w:val="C3"/>
          <w:rFonts w:ascii="Courier New" w:hAnsi="Courier New"/>
        </w:rPr>
      </w:pPr>
      <w:r>
        <w:rPr>
          <w:rStyle w:val="C3"/>
          <w:rFonts w:ascii="Courier New" w:hAnsi="Courier New"/>
        </w:rPr>
        <w:t>Exceptúase de los beneficios establecidos en este inciso a los llamados “Hoteles Alojamientos”, “Por Hora”, o “Albergues Transitorios”.</w:t>
      </w:r>
    </w:p>
    <w:p>
      <w:pPr>
        <w:tabs>
          <w:tab w:val="left" w:pos="1080" w:leader="none"/>
        </w:tabs>
        <w:ind w:left="720"/>
        <w:jc w:val="both"/>
        <w:rPr>
          <w:rStyle w:val="C3"/>
          <w:rFonts w:ascii="Courier New" w:hAnsi="Courier New"/>
        </w:rPr>
      </w:pPr>
    </w:p>
    <w:p>
      <w:pPr>
        <w:numPr>
          <w:ilvl w:val="0"/>
          <w:numId w:val="21"/>
        </w:numPr>
        <w:tabs>
          <w:tab w:val="clear" w:pos="360" w:leader="none"/>
          <w:tab w:val="left" w:pos="1080" w:leader="none"/>
        </w:tabs>
        <w:ind w:firstLine="0" w:left="720"/>
        <w:jc w:val="both"/>
        <w:rPr>
          <w:rStyle w:val="C3"/>
          <w:rFonts w:ascii="Courier New" w:hAnsi="Courier New"/>
        </w:rPr>
      </w:pPr>
      <w:r>
        <w:rPr>
          <w:rStyle w:val="C3"/>
          <w:rFonts w:ascii="Courier New" w:hAnsi="Courier New"/>
        </w:rPr>
        <w:t xml:space="preserve">La restauración, mejora y equipamiento de los establecimientos existentes denominados “Cama y Desayuno”,   con  categoría   de   dos  (2)  y  tres (3)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rPr>
          <w:rStyle w:val="C3"/>
          <w:rFonts w:ascii="Courier New" w:hAnsi="Courier New"/>
        </w:rPr>
      </w:pPr>
      <w:r>
        <w:rPr>
          <w:rStyle w:val="C3"/>
          <w:rFonts w:ascii="Courier New" w:hAnsi="Courier New"/>
        </w:rPr>
        <w:t>...///4.-</w:t>
      </w:r>
    </w:p>
    <w:p>
      <w:pPr>
        <w:rPr>
          <w:rStyle w:val="C3"/>
          <w:rFonts w:ascii="Courier New" w:hAnsi="Courier New"/>
        </w:rPr>
      </w:pPr>
    </w:p>
    <w:p>
      <w:pPr>
        <w:pStyle w:val="P7"/>
      </w:pPr>
      <w:r>
        <w:t>estrellas, creados y regulados por la Municipalidad de Alta Gracia de acuerdo a la legislación vigente.</w:t>
      </w:r>
    </w:p>
    <w:p>
      <w:pPr>
        <w:pStyle w:val="P7"/>
      </w:pPr>
      <w:r>
        <w:t>Los establecimientos no categorizados avalados por la Ley Provincial Nº 6483 y su Reglamentación, y los establecimientos “Cama y Desayuno”, estarán categorizados por la Municipalidad de Alta Gracia desde una (1) hasta tres (3) estrellas máximo, respetando los beneficios que esta Ordenanza imparte para los establecimientos desde dos (2) estrellas; los beneficios podrán ser obtenidos por aquellos establecimientos categorizados por la Municipalidad de Alta Gracia de una (1) estrella, que la reforma, ampliación y mejora produzca un cambio jerarquizado en la categoría.</w:t>
      </w:r>
    </w:p>
    <w:p>
      <w:pPr>
        <w:jc w:val="both"/>
        <w:rPr>
          <w:rStyle w:val="C3"/>
          <w:rFonts w:ascii="Courier New" w:hAnsi="Courier New"/>
        </w:rPr>
      </w:pPr>
    </w:p>
    <w:p>
      <w:pPr>
        <w:numPr>
          <w:ilvl w:val="0"/>
          <w:numId w:val="13"/>
        </w:numPr>
        <w:tabs>
          <w:tab w:val="left" w:pos="0" w:leader="none"/>
          <w:tab w:val="clear" w:pos="720" w:leader="none"/>
          <w:tab w:val="left" w:pos="1080" w:leader="none"/>
        </w:tabs>
        <w:ind w:firstLine="0"/>
        <w:jc w:val="both"/>
        <w:rPr>
          <w:rStyle w:val="C3"/>
          <w:rFonts w:ascii="Courier New" w:hAnsi="Courier New"/>
        </w:rPr>
      </w:pPr>
      <w:r>
        <w:rPr>
          <w:rStyle w:val="C3"/>
          <w:rFonts w:ascii="Courier New" w:hAnsi="Courier New"/>
        </w:rPr>
        <w:t>Las obras edilicias de infraestructura y equipamiento destinadas a la iniciación de la explotación de Congresos, Convenciones, Ferias y Actividades Culturales, Deportivas y Recreativas.</w:t>
      </w:r>
    </w:p>
    <w:p>
      <w:pPr>
        <w:tabs>
          <w:tab w:val="left" w:pos="1080" w:leader="none"/>
        </w:tabs>
        <w:ind w:left="720"/>
        <w:jc w:val="both"/>
        <w:rPr>
          <w:rStyle w:val="C3"/>
          <w:rFonts w:ascii="Courier New" w:hAnsi="Courier New"/>
        </w:rPr>
      </w:pPr>
    </w:p>
    <w:p>
      <w:pPr>
        <w:numPr>
          <w:ilvl w:val="0"/>
          <w:numId w:val="13"/>
        </w:numPr>
        <w:tabs>
          <w:tab w:val="left" w:pos="1080" w:leader="none"/>
        </w:tabs>
        <w:ind w:firstLine="0"/>
        <w:jc w:val="both"/>
        <w:rPr>
          <w:rStyle w:val="C3"/>
          <w:rFonts w:ascii="Courier New" w:hAnsi="Courier New"/>
        </w:rPr>
      </w:pPr>
      <w:r>
        <w:rPr>
          <w:rStyle w:val="C3"/>
          <w:rFonts w:ascii="Courier New" w:hAnsi="Courier New"/>
        </w:rPr>
        <w:t>Las obras edilicias de infraestructura y equipamiento de establecimientos destinados a la iniciación de la explotación de servicios de comidas en las condiciones y tipologías que determine la Reglamentación de esta Ordenanza.</w:t>
      </w:r>
    </w:p>
    <w:p>
      <w:pPr>
        <w:tabs>
          <w:tab w:val="left" w:pos="1080" w:leader="none"/>
        </w:tabs>
        <w:ind w:left="720"/>
        <w:jc w:val="both"/>
        <w:rPr>
          <w:rStyle w:val="C3"/>
          <w:rFonts w:ascii="Courier New" w:hAnsi="Courier New"/>
        </w:rPr>
      </w:pPr>
    </w:p>
    <w:p>
      <w:pPr>
        <w:numPr>
          <w:ilvl w:val="0"/>
          <w:numId w:val="13"/>
        </w:numPr>
        <w:tabs>
          <w:tab w:val="left" w:pos="1080" w:leader="none"/>
        </w:tabs>
        <w:ind w:firstLine="0"/>
        <w:jc w:val="both"/>
        <w:rPr>
          <w:rStyle w:val="C3"/>
          <w:rFonts w:ascii="Courier New" w:hAnsi="Courier New"/>
        </w:rPr>
      </w:pPr>
      <w:r>
        <w:rPr>
          <w:rStyle w:val="C3"/>
          <w:rFonts w:ascii="Courier New" w:hAnsi="Courier New"/>
        </w:rPr>
        <w:t>La incorporación de unidades de transportes a las empresas de excursiones turísticas existentes o a constituirse, debidamente autorizadas.</w:t>
      </w:r>
    </w:p>
    <w:p>
      <w:pPr>
        <w:tabs>
          <w:tab w:val="left" w:pos="1080" w:leader="none"/>
        </w:tabs>
        <w:ind w:left="720"/>
        <w:jc w:val="both"/>
        <w:rPr>
          <w:rStyle w:val="C3"/>
          <w:rFonts w:ascii="Courier New" w:hAnsi="Courier New"/>
        </w:rPr>
      </w:pPr>
    </w:p>
    <w:p>
      <w:pPr>
        <w:numPr>
          <w:ilvl w:val="0"/>
          <w:numId w:val="13"/>
        </w:numPr>
        <w:tabs>
          <w:tab w:val="left" w:pos="1080" w:leader="none"/>
        </w:tabs>
        <w:ind w:firstLine="0"/>
        <w:jc w:val="both"/>
        <w:rPr>
          <w:rStyle w:val="C3"/>
          <w:rFonts w:ascii="Courier New" w:hAnsi="Courier New"/>
        </w:rPr>
      </w:pPr>
      <w:r>
        <w:rPr>
          <w:rStyle w:val="C3"/>
          <w:rFonts w:ascii="Courier New" w:hAnsi="Courier New"/>
        </w:rPr>
        <w:t>Las Agencias de Turismo de la ciudad de Alta Gracia que realicen actividades de Turismo Receptivo y Alternativa, avaladas por la Ley Nacional de Agentes de Viajes Nº 18.829 y su Reglamentación.</w:t>
      </w:r>
    </w:p>
    <w:p>
      <w:pPr>
        <w:tabs>
          <w:tab w:val="left" w:pos="1080" w:leader="none"/>
        </w:tabs>
        <w:ind w:left="720"/>
        <w:jc w:val="both"/>
        <w:rPr>
          <w:rStyle w:val="C3"/>
          <w:rFonts w:ascii="Courier New" w:hAnsi="Courier New"/>
        </w:rPr>
      </w:pPr>
    </w:p>
    <w:p>
      <w:pPr>
        <w:numPr>
          <w:ilvl w:val="0"/>
          <w:numId w:val="13"/>
        </w:numPr>
        <w:tabs>
          <w:tab w:val="left" w:pos="1080" w:leader="none"/>
        </w:tabs>
        <w:ind w:firstLine="0"/>
        <w:jc w:val="both"/>
        <w:rPr>
          <w:rStyle w:val="C3"/>
          <w:rFonts w:ascii="Courier New" w:hAnsi="Courier New"/>
        </w:rPr>
      </w:pPr>
      <w:r>
        <w:rPr>
          <w:rStyle w:val="C3"/>
          <w:rFonts w:ascii="Courier New" w:hAnsi="Courier New"/>
        </w:rPr>
        <w:t>La realización de acontecimientos de carácter cultural, científico, artístico y deportivo, que por su trascendencia sea declarado de interés turístico.</w:t>
      </w:r>
    </w:p>
    <w:p>
      <w:pPr>
        <w:jc w:val="right"/>
        <w:rPr>
          <w:rStyle w:val="C3"/>
          <w:rFonts w:ascii="Courier New" w:hAnsi="Courier New"/>
        </w:rPr>
      </w:pPr>
    </w:p>
    <w:p>
      <w:pPr>
        <w:numPr>
          <w:ilvl w:val="0"/>
          <w:numId w:val="13"/>
        </w:numPr>
        <w:tabs>
          <w:tab w:val="left" w:pos="1080" w:leader="none"/>
        </w:tabs>
        <w:ind w:firstLine="0"/>
        <w:jc w:val="both"/>
        <w:rPr>
          <w:rStyle w:val="C3"/>
          <w:rFonts w:ascii="Courier New" w:hAnsi="Courier New"/>
        </w:rPr>
      </w:pPr>
      <w:r>
        <w:rPr>
          <w:rStyle w:val="C3"/>
          <w:rFonts w:ascii="Courier New" w:hAnsi="Courier New"/>
        </w:rPr>
        <w:t>La producción, difusión y comercialización de artesanías autóctonas debidamente reconocidas.</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r>
        <w:rPr>
          <w:rStyle w:val="C3"/>
          <w:rFonts w:ascii="Courier New" w:hAnsi="Courier New"/>
        </w:rPr>
        <w:t>...///5.-</w:t>
      </w:r>
    </w:p>
    <w:p>
      <w:pPr>
        <w:tabs>
          <w:tab w:val="left" w:pos="1080" w:leader="none"/>
        </w:tabs>
        <w:ind w:left="720"/>
        <w:jc w:val="both"/>
        <w:rPr>
          <w:rStyle w:val="C3"/>
          <w:rFonts w:ascii="Courier New" w:hAnsi="Courier New"/>
          <w:b w:val="1"/>
        </w:rPr>
      </w:pPr>
    </w:p>
    <w:p>
      <w:pPr>
        <w:numPr>
          <w:ilvl w:val="0"/>
          <w:numId w:val="13"/>
        </w:numPr>
        <w:tabs>
          <w:tab w:val="left" w:pos="1080" w:leader="none"/>
        </w:tabs>
        <w:ind w:firstLine="0"/>
        <w:jc w:val="both"/>
        <w:rPr>
          <w:rStyle w:val="C3"/>
          <w:rFonts w:ascii="Courier New" w:hAnsi="Courier New"/>
        </w:rPr>
      </w:pPr>
      <w:r>
        <w:rPr>
          <w:rStyle w:val="C3"/>
          <w:rFonts w:ascii="Courier New" w:hAnsi="Courier New"/>
        </w:rPr>
        <w:t>La colaboración que prestaren las empresas radicadas o no en nuestra Ciudad, cualquiera fuera la actividad que desarrollen, a los planes de promoción, información, capacitación, equipamiento turístico complementario, recuperación y puesta en valor del patrimonio cultural, previa aprobación de la autoridad de aplicación, con exclusión de la publicidad de cualquier índole.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3"/>
      </w:pPr>
      <w:r>
        <w:t>INSTRUMENTOS DE PROMOCIÓN</w:t>
      </w:r>
    </w:p>
    <w:p>
      <w:pPr>
        <w:jc w:val="center"/>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REALÍCESE </w:t>
      </w:r>
      <w:r>
        <w:rPr>
          <w:rStyle w:val="C3"/>
          <w:rFonts w:ascii="Courier New" w:hAnsi="Courier New"/>
        </w:rPr>
        <w:t xml:space="preserve">el desarrollo turístico promovido en la presente Ordenanza,  mediante la utilización por parte del Estado Municipal de los siguientes instrumentos:</w:t>
      </w:r>
    </w:p>
    <w:p>
      <w:pPr>
        <w:ind w:hanging="720" w:left="720"/>
        <w:jc w:val="both"/>
        <w:rPr>
          <w:rStyle w:val="C3"/>
          <w:rFonts w:ascii="Courier New" w:hAnsi="Courier New"/>
        </w:rPr>
      </w:pPr>
    </w:p>
    <w:p>
      <w:pPr>
        <w:numPr>
          <w:ilvl w:val="0"/>
          <w:numId w:val="2"/>
        </w:numPr>
        <w:tabs>
          <w:tab w:val="left" w:pos="1080" w:leader="none"/>
        </w:tabs>
        <w:ind w:firstLine="0"/>
        <w:jc w:val="both"/>
        <w:rPr>
          <w:rStyle w:val="C3"/>
          <w:rFonts w:ascii="Courier New" w:hAnsi="Courier New"/>
        </w:rPr>
      </w:pPr>
      <w:r>
        <w:rPr>
          <w:rStyle w:val="C3"/>
          <w:rFonts w:ascii="Courier New" w:hAnsi="Courier New"/>
        </w:rPr>
        <w:t>Exenciones Impositivas.</w:t>
      </w:r>
    </w:p>
    <w:p>
      <w:pPr>
        <w:tabs>
          <w:tab w:val="left" w:pos="1080" w:leader="none"/>
        </w:tabs>
        <w:ind w:left="720"/>
        <w:jc w:val="both"/>
        <w:rPr>
          <w:rStyle w:val="C3"/>
          <w:rFonts w:ascii="Courier New" w:hAnsi="Courier New"/>
        </w:rPr>
      </w:pPr>
    </w:p>
    <w:p>
      <w:pPr>
        <w:numPr>
          <w:ilvl w:val="0"/>
          <w:numId w:val="2"/>
        </w:numPr>
        <w:tabs>
          <w:tab w:val="left" w:pos="1080" w:leader="none"/>
        </w:tabs>
        <w:ind w:firstLine="0"/>
        <w:jc w:val="both"/>
        <w:rPr>
          <w:rStyle w:val="C3"/>
          <w:rFonts w:ascii="Courier New" w:hAnsi="Courier New"/>
        </w:rPr>
      </w:pPr>
      <w:r>
        <w:rPr>
          <w:rStyle w:val="C3"/>
          <w:rFonts w:ascii="Courier New" w:hAnsi="Courier New"/>
        </w:rPr>
        <w:t>Diferimiento en el cumplimiento de las obligaciones fiscales.</w:t>
      </w:r>
    </w:p>
    <w:p>
      <w:pPr>
        <w:tabs>
          <w:tab w:val="left" w:pos="1080" w:leader="none"/>
        </w:tabs>
        <w:ind w:left="720"/>
        <w:jc w:val="both"/>
        <w:rPr>
          <w:rStyle w:val="C3"/>
          <w:rFonts w:ascii="Courier New" w:hAnsi="Courier New"/>
        </w:rPr>
      </w:pPr>
    </w:p>
    <w:p>
      <w:pPr>
        <w:numPr>
          <w:ilvl w:val="0"/>
          <w:numId w:val="2"/>
        </w:numPr>
        <w:tabs>
          <w:tab w:val="left" w:pos="0" w:leader="none"/>
          <w:tab w:val="clear" w:pos="720" w:leader="none"/>
          <w:tab w:val="left" w:pos="1080" w:leader="none"/>
        </w:tabs>
        <w:ind w:firstLine="0"/>
        <w:jc w:val="both"/>
        <w:rPr>
          <w:rStyle w:val="C3"/>
          <w:rFonts w:ascii="Courier New" w:hAnsi="Courier New"/>
        </w:rPr>
      </w:pPr>
      <w:r>
        <w:rPr>
          <w:rStyle w:val="C3"/>
          <w:rFonts w:ascii="Courier New" w:hAnsi="Courier New"/>
        </w:rPr>
        <w:t>Acompañamiento en la gestión de créditos en condiciones de fomento, de conformidad con lo que dispongan las entidades crediticias correspondientes.</w:t>
      </w:r>
    </w:p>
    <w:p>
      <w:pPr>
        <w:tabs>
          <w:tab w:val="left" w:pos="1080" w:leader="none"/>
        </w:tabs>
        <w:ind w:left="720"/>
        <w:jc w:val="both"/>
        <w:rPr>
          <w:rStyle w:val="C3"/>
          <w:rFonts w:ascii="Courier New" w:hAnsi="Courier New"/>
        </w:rPr>
      </w:pPr>
    </w:p>
    <w:p>
      <w:pPr>
        <w:numPr>
          <w:ilvl w:val="0"/>
          <w:numId w:val="2"/>
        </w:numPr>
        <w:tabs>
          <w:tab w:val="left" w:pos="0" w:leader="none"/>
          <w:tab w:val="clear" w:pos="720" w:leader="none"/>
          <w:tab w:val="left" w:pos="1080" w:leader="none"/>
        </w:tabs>
        <w:ind w:firstLine="0"/>
        <w:jc w:val="both"/>
        <w:rPr>
          <w:rStyle w:val="C3"/>
          <w:rFonts w:ascii="Courier New" w:hAnsi="Courier New"/>
        </w:rPr>
      </w:pPr>
      <w:r>
        <w:rPr>
          <w:rStyle w:val="C3"/>
          <w:rFonts w:ascii="Courier New" w:hAnsi="Courier New"/>
        </w:rPr>
        <w:t>Venta en condiciones de fomento o cesión por cualquier título de bienes inmuebles integrantes del dominio privado del Estado Municipal.</w:t>
      </w:r>
    </w:p>
    <w:p>
      <w:pPr>
        <w:tabs>
          <w:tab w:val="left" w:pos="1080" w:leader="none"/>
        </w:tabs>
        <w:ind w:left="720"/>
        <w:jc w:val="both"/>
        <w:rPr>
          <w:rStyle w:val="C3"/>
          <w:rFonts w:ascii="Courier New" w:hAnsi="Courier New"/>
        </w:rPr>
      </w:pPr>
    </w:p>
    <w:p>
      <w:pPr>
        <w:numPr>
          <w:ilvl w:val="0"/>
          <w:numId w:val="2"/>
        </w:numPr>
        <w:tabs>
          <w:tab w:val="left" w:pos="1080" w:leader="none"/>
        </w:tabs>
        <w:ind w:firstLine="0"/>
        <w:jc w:val="both"/>
        <w:rPr>
          <w:rStyle w:val="C3"/>
          <w:rFonts w:ascii="Courier New" w:hAnsi="Courier New"/>
        </w:rPr>
      </w:pPr>
      <w:r>
        <w:rPr>
          <w:rStyle w:val="C3"/>
          <w:rFonts w:ascii="Courier New" w:hAnsi="Courier New"/>
        </w:rPr>
        <w:t>Subsidios, Becas y Asistencia Técnica.</w:t>
      </w:r>
    </w:p>
    <w:p>
      <w:pPr>
        <w:tabs>
          <w:tab w:val="left" w:pos="1080" w:leader="none"/>
        </w:tabs>
        <w:ind w:left="720"/>
        <w:jc w:val="both"/>
        <w:rPr>
          <w:rStyle w:val="C3"/>
          <w:rFonts w:ascii="Courier New" w:hAnsi="Courier New"/>
          <w:b w:val="1"/>
        </w:rPr>
      </w:pPr>
    </w:p>
    <w:p>
      <w:pPr>
        <w:tabs>
          <w:tab w:val="left" w:pos="1080" w:leader="none"/>
        </w:tabs>
        <w:ind w:left="720"/>
        <w:jc w:val="both"/>
        <w:rPr>
          <w:rStyle w:val="C3"/>
          <w:rFonts w:ascii="Courier New" w:hAnsi="Courier New"/>
        </w:rPr>
      </w:pPr>
      <w:r>
        <w:rPr>
          <w:rStyle w:val="C3"/>
          <w:rFonts w:ascii="Courier New" w:hAnsi="Courier New"/>
          <w:b w:val="1"/>
        </w:rPr>
        <w:t>f)</w:t>
      </w:r>
      <w:r>
        <w:rPr>
          <w:rStyle w:val="C3"/>
          <w:rFonts w:ascii="Courier New" w:hAnsi="Courier New"/>
        </w:rPr>
        <w:t xml:space="preserve"> Provisión de Infraestructura de servicios públicos esenciales dentro de las previsiones de los planes de gobierno, y de los respectivos créditos presupuestarios.</w:t>
      </w:r>
    </w:p>
    <w:p>
      <w:pPr>
        <w:tabs>
          <w:tab w:val="left" w:pos="1080" w:leader="none"/>
        </w:tabs>
        <w:ind w:left="720"/>
        <w:jc w:val="both"/>
        <w:rPr>
          <w:rStyle w:val="C3"/>
          <w:rFonts w:ascii="Courier New" w:hAnsi="Courier New"/>
          <w:b w:val="1"/>
        </w:rPr>
      </w:pPr>
    </w:p>
    <w:p>
      <w:pPr>
        <w:numPr>
          <w:ilvl w:val="0"/>
          <w:numId w:val="22"/>
        </w:numPr>
        <w:tabs>
          <w:tab w:val="clear" w:pos="360" w:leader="none"/>
          <w:tab w:val="left" w:pos="1080" w:leader="none"/>
        </w:tabs>
        <w:ind w:firstLine="0" w:left="720"/>
        <w:jc w:val="both"/>
        <w:rPr>
          <w:rStyle w:val="C3"/>
          <w:rFonts w:ascii="Courier New" w:hAnsi="Courier New"/>
        </w:rPr>
      </w:pPr>
      <w:r>
        <w:rPr>
          <w:rStyle w:val="C3"/>
          <w:rFonts w:ascii="Courier New" w:hAnsi="Courier New"/>
        </w:rPr>
        <w:t>Integración de sociedades de economía mixta.</w:t>
      </w:r>
    </w:p>
    <w:p>
      <w:pPr>
        <w:jc w:val="both"/>
        <w:rPr>
          <w:rStyle w:val="C3"/>
          <w:rFonts w:ascii="Courier New" w:hAnsi="Courier New"/>
        </w:rPr>
      </w:pPr>
    </w:p>
    <w:p>
      <w:pPr>
        <w:jc w:val="right"/>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...///6.-</w:t>
      </w:r>
    </w:p>
    <w:p>
      <w:pPr>
        <w:pStyle w:val="P3"/>
      </w:pPr>
      <w:r>
        <w:t>BENEFICIARIOS</w:t>
      </w:r>
    </w:p>
    <w:p>
      <w:pPr>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Art.5</w:t>
      </w:r>
      <w:r>
        <w:rPr>
          <w:rStyle w:val="C3"/>
          <w:rFonts w:ascii="Courier New" w:hAnsi="Courier New"/>
          <w:b w:val="1"/>
        </w:rPr>
        <w:t>: COMPRÉNDANSE</w:t>
      </w:r>
      <w:r>
        <w:rPr>
          <w:rStyle w:val="C3"/>
          <w:rFonts w:ascii="Courier New" w:hAnsi="Courier New"/>
        </w:rPr>
        <w:t xml:space="preserve"> dentro de los alcances de esta Ordenanza las personas físicas o jurídicas, legalmente constituidas que realicen alguna de las acciones promovidas en el artículo 3º y que hubieren sido declaradas “Beneficiario Definitivo” por Ordenanza Municipal.</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Art.6</w:t>
      </w:r>
      <w:r>
        <w:rPr>
          <w:rStyle w:val="C3"/>
          <w:rFonts w:ascii="Courier New" w:hAnsi="Courier New"/>
          <w:b w:val="1"/>
        </w:rPr>
        <w:t>: CÚMPLASE</w:t>
      </w:r>
      <w:r>
        <w:rPr>
          <w:rStyle w:val="C3"/>
          <w:rFonts w:ascii="Courier New" w:hAnsi="Courier New"/>
        </w:rPr>
        <w:t xml:space="preserve"> por parte del solicitante a los fines de su declaración como “Beneficiario Definitivo”, además de  las disposiciones de la presente Ordenanza y su Reglamentación, con lo siguiente:</w:t>
      </w:r>
    </w:p>
    <w:p>
      <w:pPr>
        <w:jc w:val="both"/>
        <w:rPr>
          <w:rStyle w:val="C3"/>
          <w:rFonts w:ascii="Courier New" w:hAnsi="Courier New"/>
        </w:rPr>
      </w:pPr>
    </w:p>
    <w:p>
      <w:pPr>
        <w:numPr>
          <w:ilvl w:val="0"/>
          <w:numId w:val="5"/>
        </w:numPr>
        <w:tabs>
          <w:tab w:val="clear" w:pos="720" w:leader="none"/>
          <w:tab w:val="left" w:pos="1080" w:leader="none"/>
        </w:tabs>
        <w:ind w:firstLine="0"/>
        <w:jc w:val="both"/>
        <w:rPr>
          <w:rStyle w:val="C3"/>
          <w:rFonts w:ascii="Courier New" w:hAnsi="Courier New"/>
        </w:rPr>
      </w:pPr>
      <w:r>
        <w:rPr>
          <w:rStyle w:val="C3"/>
          <w:rFonts w:ascii="Courier New" w:hAnsi="Courier New"/>
        </w:rPr>
        <w:t>Constituir domicilio dentro de la Jurisdicción de la ciudad de Alta Gracia.</w:t>
      </w:r>
    </w:p>
    <w:p>
      <w:pPr>
        <w:jc w:val="both"/>
        <w:rPr>
          <w:rStyle w:val="C3"/>
          <w:rFonts w:ascii="Courier New" w:hAnsi="Courier New"/>
        </w:rPr>
      </w:pPr>
    </w:p>
    <w:p>
      <w:pPr>
        <w:numPr>
          <w:ilvl w:val="0"/>
          <w:numId w:val="23"/>
        </w:numPr>
        <w:tabs>
          <w:tab w:val="clear" w:pos="360" w:leader="none"/>
          <w:tab w:val="left" w:pos="1080" w:leader="none"/>
        </w:tabs>
        <w:ind w:firstLine="0" w:left="720"/>
        <w:jc w:val="both"/>
        <w:rPr>
          <w:rStyle w:val="C3"/>
          <w:rFonts w:ascii="Courier New" w:hAnsi="Courier New"/>
        </w:rPr>
      </w:pPr>
      <w:r>
        <w:rPr>
          <w:rStyle w:val="C3"/>
          <w:rFonts w:ascii="Courier New" w:hAnsi="Courier New"/>
        </w:rPr>
        <w:t>Realizar en forma regular la actividad promovida, a excepción de las acciones que revistan carácter eventual o transitorio.</w:t>
      </w:r>
    </w:p>
    <w:p>
      <w:pPr>
        <w:tabs>
          <w:tab w:val="left" w:pos="1080" w:leader="none"/>
        </w:tabs>
        <w:ind w:left="720"/>
        <w:jc w:val="both"/>
        <w:rPr>
          <w:rStyle w:val="C3"/>
          <w:rFonts w:ascii="Courier New" w:hAnsi="Courier New"/>
        </w:rPr>
      </w:pPr>
    </w:p>
    <w:p>
      <w:pPr>
        <w:numPr>
          <w:ilvl w:val="0"/>
          <w:numId w:val="6"/>
        </w:numPr>
        <w:tabs>
          <w:tab w:val="left" w:pos="0" w:leader="none"/>
          <w:tab w:val="clear" w:pos="720" w:leader="none"/>
          <w:tab w:val="left" w:pos="1080" w:leader="none"/>
        </w:tabs>
        <w:ind w:firstLine="0"/>
        <w:jc w:val="both"/>
        <w:rPr>
          <w:rStyle w:val="C3"/>
          <w:rFonts w:ascii="Courier New" w:hAnsi="Courier New"/>
        </w:rPr>
      </w:pPr>
      <w:r>
        <w:rPr>
          <w:rStyle w:val="C3"/>
          <w:rFonts w:ascii="Courier New" w:hAnsi="Courier New"/>
        </w:rPr>
        <w:t>Cumplimentar con las disposiciones legales que rigen la actividad de que se trata.</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Art.7</w:t>
      </w:r>
      <w:r>
        <w:rPr>
          <w:rStyle w:val="C3"/>
          <w:rFonts w:ascii="Courier New" w:hAnsi="Courier New"/>
        </w:rPr>
        <w:t xml:space="preserve">: </w:t>
      </w:r>
      <w:r>
        <w:rPr>
          <w:rStyle w:val="C3"/>
          <w:rFonts w:ascii="Courier New" w:hAnsi="Courier New"/>
          <w:b w:val="1"/>
        </w:rPr>
        <w:t>NO</w:t>
      </w:r>
      <w:r>
        <w:rPr>
          <w:rStyle w:val="C3"/>
          <w:rFonts w:ascii="Courier New" w:hAnsi="Courier New"/>
        </w:rPr>
        <w:t xml:space="preserve"> podrán ser beneficiarios:</w:t>
      </w:r>
    </w:p>
    <w:p>
      <w:pPr>
        <w:jc w:val="both"/>
        <w:rPr>
          <w:rStyle w:val="C3"/>
          <w:rFonts w:ascii="Courier New" w:hAnsi="Courier New"/>
        </w:rPr>
      </w:pPr>
    </w:p>
    <w:p>
      <w:pPr>
        <w:tabs>
          <w:tab w:val="left" w:pos="1080" w:leader="none"/>
        </w:tabs>
        <w:ind w:left="720"/>
        <w:jc w:val="both"/>
        <w:rPr>
          <w:rStyle w:val="C3"/>
          <w:rFonts w:ascii="Courier New" w:hAnsi="Courier New"/>
        </w:rPr>
      </w:pPr>
      <w:r>
        <w:rPr>
          <w:rStyle w:val="C3"/>
          <w:rFonts w:ascii="Courier New" w:hAnsi="Courier New"/>
          <w:b w:val="1"/>
        </w:rPr>
        <w:t xml:space="preserve">a) </w:t>
      </w:r>
      <w:r>
        <w:rPr>
          <w:rStyle w:val="C3"/>
          <w:rFonts w:ascii="Courier New" w:hAnsi="Courier New"/>
        </w:rPr>
        <w:t>Las personas que hubiesen sido condenadas por cualquier tipo de delito doloso con penas privativas de la libertad, y/o inhabilitación mientras no haya transcurrido un tiempo igual al doble de la condena. En caso de persona jurídica la condena debe haber recaído en sus representantes o Directores.</w:t>
      </w:r>
    </w:p>
    <w:p>
      <w:pPr>
        <w:jc w:val="both"/>
        <w:rPr>
          <w:rStyle w:val="C3"/>
          <w:rFonts w:ascii="Courier New" w:hAnsi="Courier New"/>
          <w:b w:val="1"/>
        </w:rPr>
      </w:pPr>
    </w:p>
    <w:p>
      <w:pPr>
        <w:tabs>
          <w:tab w:val="left" w:pos="1080" w:leader="none"/>
        </w:tabs>
        <w:ind w:left="720"/>
        <w:jc w:val="both"/>
        <w:rPr>
          <w:rStyle w:val="C3"/>
          <w:rFonts w:ascii="Courier New" w:hAnsi="Courier New"/>
        </w:rPr>
      </w:pPr>
      <w:r>
        <w:rPr>
          <w:rStyle w:val="C3"/>
          <w:rFonts w:ascii="Courier New" w:hAnsi="Courier New"/>
          <w:b w:val="1"/>
        </w:rPr>
        <w:t xml:space="preserve">b) </w:t>
      </w:r>
      <w:r>
        <w:rPr>
          <w:rStyle w:val="C3"/>
          <w:rFonts w:ascii="Courier New" w:hAnsi="Courier New"/>
        </w:rPr>
        <w:t>Las personas que al tiempo de concedérseles el beneficio tuvieran deudas exigibles e impagas a favor del Estado Municipal de carácter fiscal ó provisional.</w:t>
      </w:r>
    </w:p>
    <w:p>
      <w:pPr>
        <w:tabs>
          <w:tab w:val="left" w:pos="1080" w:leader="none"/>
        </w:tabs>
        <w:ind w:left="720"/>
        <w:jc w:val="both"/>
        <w:rPr>
          <w:rStyle w:val="C3"/>
          <w:rFonts w:ascii="Courier New" w:hAnsi="Courier New"/>
        </w:rPr>
      </w:pPr>
    </w:p>
    <w:p>
      <w:pPr>
        <w:tabs>
          <w:tab w:val="left" w:pos="1080" w:leader="none"/>
        </w:tabs>
        <w:ind w:left="720"/>
        <w:jc w:val="both"/>
        <w:rPr>
          <w:rStyle w:val="C3"/>
          <w:rFonts w:ascii="Courier New" w:hAnsi="Courier New"/>
        </w:rPr>
      </w:pPr>
      <w:r>
        <w:rPr>
          <w:rStyle w:val="C3"/>
          <w:rFonts w:ascii="Courier New" w:hAnsi="Courier New"/>
          <w:b w:val="1"/>
        </w:rPr>
        <w:t>c)</w:t>
      </w:r>
      <w:r>
        <w:rPr>
          <w:rStyle w:val="C3"/>
          <w:rFonts w:ascii="Courier New" w:hAnsi="Courier New"/>
        </w:rPr>
        <w:t xml:space="preserve"> Las personas que registren antecedentes por incumplimiento de cualquier régimen de Promoción Municipal.</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...///7.-</w:t>
      </w:r>
    </w:p>
    <w:p>
      <w:pPr>
        <w:jc w:val="both"/>
        <w:rPr>
          <w:rStyle w:val="C3"/>
          <w:rFonts w:ascii="Courier New" w:hAnsi="Courier New"/>
        </w:rPr>
      </w:pPr>
    </w:p>
    <w:p>
      <w:pPr>
        <w:pStyle w:val="P7"/>
      </w:pPr>
      <w:r>
        <w:t>Los procesos judiciales o actuaciones administrativas pendientes por los delitos, infracciones o incumplimientos a que se refieren los incisos precedentes paralizarán el trámite administrativo iniciado a los fines de esta Ordenanza, hasta que no se resuelva el caso en forma definitiva.</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Art.8</w:t>
      </w:r>
      <w:r>
        <w:rPr>
          <w:rStyle w:val="C3"/>
          <w:rFonts w:ascii="Courier New" w:hAnsi="Courier New"/>
        </w:rPr>
        <w:t>:</w:t>
      </w:r>
      <w:r>
        <w:t xml:space="preserve"> </w:t>
      </w:r>
      <w:r>
        <w:rPr>
          <w:rStyle w:val="C3"/>
          <w:rFonts w:ascii="Courier New" w:hAnsi="Courier New"/>
        </w:rPr>
        <w:t>LAS personas que proyecten realizar alguna de las acciones previstas en el artículo 3º, podrán solicitar al Organismo de Aplicación la declaración de “Beneficiario Provisorio”, a cuyo fin deberán constituir domicilio en la ciudad de Alta Gracia, prestar garantía personal o bancaria por el doble del beneficio a acordar, ante la Dirección de Ingresos Públicos, y cumplimentar con los requisitos que establezca la Reglamentación.</w:t>
      </w:r>
    </w:p>
    <w:p>
      <w:pPr>
        <w:ind w:hanging="12" w:left="720"/>
        <w:jc w:val="both"/>
        <w:rPr>
          <w:rStyle w:val="C3"/>
          <w:rFonts w:ascii="Courier New" w:hAnsi="Courier New"/>
        </w:rPr>
      </w:pPr>
      <w:r>
        <w:rPr>
          <w:rStyle w:val="C3"/>
          <w:rFonts w:ascii="Courier New" w:hAnsi="Courier New"/>
        </w:rPr>
        <w:t>Dicha declaración se realizará por Decreto del Departamento Ejecutivo Municipal</w:t>
      </w:r>
      <w:r>
        <w:rPr>
          <w:rStyle w:val="C5"/>
          <w:rFonts w:ascii="Times New Roman" w:hAnsi="Times New Roman"/>
        </w:rPr>
        <w:footnoteReference w:id="0"/>
      </w:r>
      <w:r>
        <w:rPr>
          <w:rStyle w:val="C3"/>
          <w:rFonts w:ascii="Courier New" w:hAnsi="Courier New"/>
        </w:rPr>
        <w:t xml:space="preserve">. </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Art.9</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FÍJESE </w:t>
      </w:r>
      <w:r>
        <w:rPr>
          <w:rStyle w:val="C3"/>
          <w:rFonts w:ascii="Courier New" w:hAnsi="Courier New"/>
        </w:rPr>
        <w:t>en la declaración aludida en el artículo anterior y, según la naturaleza del Proyecto, el plazo dentro del cual se deberá comenzar en forma regular la actividad promovida. El plazo no podrá exceder de 3 (tres) años corridos a contar desde la fecha de declaración, pudiendo el Departamento Ejecutivo Municipal prorrogarlo por un año a solicitud del interesado, debiendo probarse que por razones de fuerza mayor o caso fortuito no se ha podido cumplimentar la obligación asumida dentro del término establecido.</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xml:space="preserve">: TRANSFÓRMESE </w:t>
      </w:r>
      <w:r>
        <w:rPr>
          <w:rStyle w:val="C3"/>
          <w:rFonts w:ascii="Courier New" w:hAnsi="Courier New"/>
        </w:rPr>
        <w:t xml:space="preserve">la calidad de “Beneficiario Provisorio”  en “Beneficiario Definitivo” cuando se concluya la obra correspondiente y se comience a desarrollar en forma regular la actividad de que se trata, a cuyo fin el Honorable Concejo Deliberante deberá dictar la Ordenanza correspondiente tan pronto como se acrediten tales circunstancias y se cumplimenten los demás requisitos establecidos por esta Ordenanza y su Reglamentación.</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...///8.-</w:t>
      </w:r>
    </w:p>
    <w:p>
      <w:pPr>
        <w:jc w:val="both"/>
        <w:rPr>
          <w:rStyle w:val="C3"/>
          <w:rFonts w:ascii="Courier New" w:hAnsi="Courier New"/>
        </w:rPr>
      </w:pPr>
    </w:p>
    <w:p>
      <w:pPr>
        <w:pStyle w:val="P3"/>
        <w:rPr>
          <w:rStyle w:val="C3"/>
        </w:rPr>
      </w:pPr>
      <w:r>
        <w:rPr>
          <w:rStyle w:val="C3"/>
        </w:rPr>
        <w:t>BENEFICIOS, ALCANCES Y EXTENSIÓN</w:t>
      </w:r>
    </w:p>
    <w:p>
      <w:pPr>
        <w:jc w:val="center"/>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Art.11</w:t>
      </w:r>
      <w:r>
        <w:rPr>
          <w:rStyle w:val="C3"/>
          <w:rFonts w:ascii="Courier New" w:hAnsi="Courier New"/>
          <w:b w:val="1"/>
        </w:rPr>
        <w:t>:</w:t>
      </w:r>
      <w:r>
        <w:rPr>
          <w:rStyle w:val="C3"/>
          <w:rFonts w:ascii="Courier New" w:hAnsi="Courier New"/>
        </w:rPr>
        <w:t xml:space="preserve"> </w:t>
      </w:r>
      <w:r>
        <w:rPr>
          <w:rStyle w:val="C3"/>
          <w:rFonts w:ascii="Courier New" w:hAnsi="Courier New"/>
          <w:b w:val="1"/>
        </w:rPr>
        <w:t>APLÍQUENSE</w:t>
      </w:r>
      <w:r>
        <w:rPr>
          <w:rStyle w:val="C3"/>
          <w:rFonts w:ascii="Courier New" w:hAnsi="Courier New"/>
        </w:rPr>
        <w:t xml:space="preserve"> a las personas declaradas beneficiarias de esta Ordenanza, según sea la acción que desarrollen en el sector turismo, los siguientes beneficios con la extensión y alcances que se establecen en este artículo:</w:t>
      </w:r>
    </w:p>
    <w:p>
      <w:pPr>
        <w:jc w:val="both"/>
        <w:rPr>
          <w:rStyle w:val="C3"/>
          <w:rFonts w:ascii="Courier New" w:hAnsi="Courier New"/>
        </w:rPr>
      </w:pPr>
    </w:p>
    <w:p>
      <w:pPr>
        <w:numPr>
          <w:ilvl w:val="1"/>
          <w:numId w:val="6"/>
        </w:numPr>
        <w:tabs>
          <w:tab w:val="left" w:pos="1080" w:leader="none"/>
          <w:tab w:val="clear" w:pos="1440" w:leader="none"/>
        </w:tabs>
        <w:ind w:firstLine="0" w:left="720"/>
        <w:jc w:val="both"/>
        <w:rPr>
          <w:rStyle w:val="C3"/>
          <w:rFonts w:ascii="Courier New" w:hAnsi="Courier New"/>
        </w:rPr>
      </w:pPr>
      <w:r>
        <w:rPr>
          <w:rStyle w:val="C3"/>
          <w:rFonts w:ascii="Courier New" w:hAnsi="Courier New"/>
        </w:rPr>
        <w:t>Cuando se trate de las acciones previstas en el Artículo 3º inciso a):</w:t>
      </w:r>
    </w:p>
    <w:p>
      <w:pPr>
        <w:numPr>
          <w:ilvl w:val="0"/>
          <w:numId w:val="14"/>
        </w:numPr>
        <w:tabs>
          <w:tab w:val="clear" w:pos="1260" w:leader="none"/>
          <w:tab w:val="left" w:pos="1620" w:leader="none"/>
        </w:tabs>
        <w:ind w:firstLine="0"/>
        <w:jc w:val="both"/>
        <w:rPr>
          <w:rStyle w:val="C3"/>
          <w:rFonts w:ascii="Courier New" w:hAnsi="Courier New"/>
        </w:rPr>
      </w:pPr>
      <w:r>
        <w:rPr>
          <w:rStyle w:val="C3"/>
          <w:rFonts w:ascii="Courier New" w:hAnsi="Courier New"/>
        </w:rPr>
        <w:t>Exención en el pago de la contribución sobre Industria y Comercio del 100% por 10 (diez) años.</w:t>
      </w:r>
    </w:p>
    <w:p>
      <w:pPr>
        <w:numPr>
          <w:ilvl w:val="0"/>
          <w:numId w:val="14"/>
        </w:numPr>
        <w:tabs>
          <w:tab w:val="clear" w:pos="1260" w:leader="none"/>
          <w:tab w:val="left" w:pos="1800" w:leader="none"/>
        </w:tabs>
        <w:ind w:firstLine="0"/>
        <w:jc w:val="both"/>
        <w:rPr>
          <w:rStyle w:val="C3"/>
          <w:rFonts w:ascii="Courier New" w:hAnsi="Courier New"/>
        </w:rPr>
      </w:pPr>
      <w:r>
        <w:rPr>
          <w:rStyle w:val="C3"/>
          <w:rFonts w:ascii="Courier New" w:hAnsi="Courier New"/>
        </w:rPr>
        <w:t>Exención en el pago de los Derechos de Construcción y Oficina del 100%.</w:t>
      </w:r>
    </w:p>
    <w:p>
      <w:pPr>
        <w:jc w:val="both"/>
        <w:rPr>
          <w:rStyle w:val="C3"/>
          <w:rFonts w:ascii="Courier New" w:hAnsi="Courier New"/>
        </w:rPr>
      </w:pPr>
    </w:p>
    <w:p>
      <w:pPr>
        <w:numPr>
          <w:ilvl w:val="0"/>
          <w:numId w:val="24"/>
        </w:numPr>
        <w:tabs>
          <w:tab w:val="clear" w:pos="360" w:leader="none"/>
          <w:tab w:val="left" w:pos="1080" w:leader="none"/>
        </w:tabs>
        <w:ind w:firstLine="0" w:left="720"/>
        <w:jc w:val="both"/>
        <w:rPr>
          <w:rStyle w:val="C3"/>
          <w:rFonts w:ascii="Courier New" w:hAnsi="Courier New"/>
        </w:rPr>
      </w:pPr>
      <w:r>
        <w:rPr>
          <w:rStyle w:val="C3"/>
          <w:rFonts w:ascii="Courier New" w:hAnsi="Courier New"/>
        </w:rPr>
        <w:t>Cuando se trate de las acciones previstas en el Artículo 3º inciso b):</w:t>
      </w:r>
    </w:p>
    <w:p>
      <w:pPr>
        <w:numPr>
          <w:ilvl w:val="0"/>
          <w:numId w:val="15"/>
        </w:numPr>
        <w:tabs>
          <w:tab w:val="left" w:pos="1440" w:leader="none"/>
          <w:tab w:val="left" w:pos="1620" w:leader="none"/>
        </w:tabs>
        <w:ind w:firstLine="0"/>
        <w:jc w:val="both"/>
        <w:rPr>
          <w:rStyle w:val="C3"/>
          <w:rFonts w:ascii="Courier New" w:hAnsi="Courier New"/>
        </w:rPr>
      </w:pPr>
      <w:r>
        <w:rPr>
          <w:rStyle w:val="C3"/>
          <w:rFonts w:ascii="Courier New" w:hAnsi="Courier New"/>
        </w:rPr>
        <w:t>Exención en el pago de la contribución sobre Industria y Comercio del 100% por 5 (cinco) años.</w:t>
      </w:r>
    </w:p>
    <w:p>
      <w:pPr>
        <w:numPr>
          <w:ilvl w:val="0"/>
          <w:numId w:val="15"/>
        </w:numPr>
        <w:tabs>
          <w:tab w:val="left" w:pos="1440" w:leader="none"/>
          <w:tab w:val="left" w:pos="1800" w:leader="none"/>
        </w:tabs>
        <w:ind w:firstLine="0"/>
        <w:jc w:val="both"/>
        <w:rPr>
          <w:rStyle w:val="C3"/>
          <w:rFonts w:ascii="Courier New" w:hAnsi="Courier New"/>
        </w:rPr>
      </w:pPr>
      <w:r>
        <w:rPr>
          <w:rStyle w:val="C3"/>
          <w:rFonts w:ascii="Courier New" w:hAnsi="Courier New"/>
        </w:rPr>
        <w:t>Exención en el pago de los Derechos de Construcción y Oficina del 100%.</w:t>
      </w:r>
    </w:p>
    <w:p>
      <w:pPr>
        <w:jc w:val="both"/>
        <w:rPr>
          <w:rStyle w:val="C3"/>
          <w:rFonts w:ascii="Courier New" w:hAnsi="Courier New"/>
        </w:rPr>
      </w:pPr>
    </w:p>
    <w:p>
      <w:pPr>
        <w:numPr>
          <w:ilvl w:val="0"/>
          <w:numId w:val="24"/>
        </w:numPr>
        <w:tabs>
          <w:tab w:val="clear" w:pos="360" w:leader="none"/>
          <w:tab w:val="left" w:pos="1080" w:leader="none"/>
        </w:tabs>
        <w:ind w:firstLine="0" w:left="720"/>
        <w:jc w:val="both"/>
        <w:rPr>
          <w:rStyle w:val="C3"/>
          <w:rFonts w:ascii="Courier New" w:hAnsi="Courier New"/>
        </w:rPr>
      </w:pPr>
      <w:r>
        <w:rPr>
          <w:rStyle w:val="C3"/>
          <w:rFonts w:ascii="Courier New" w:hAnsi="Courier New"/>
        </w:rPr>
        <w:t>Cuando se trate de las acciones previstas en el Artículo 3º inciso c):</w:t>
      </w:r>
    </w:p>
    <w:p>
      <w:pPr>
        <w:numPr>
          <w:ilvl w:val="0"/>
          <w:numId w:val="16"/>
        </w:numPr>
        <w:tabs>
          <w:tab w:val="clear" w:pos="1260" w:leader="none"/>
          <w:tab w:val="left" w:pos="1620" w:leader="none"/>
        </w:tabs>
        <w:ind w:firstLine="0"/>
        <w:jc w:val="both"/>
        <w:rPr>
          <w:rStyle w:val="C3"/>
          <w:rFonts w:ascii="Courier New" w:hAnsi="Courier New"/>
        </w:rPr>
      </w:pPr>
      <w:r>
        <w:rPr>
          <w:rStyle w:val="C3"/>
          <w:rFonts w:ascii="Courier New" w:hAnsi="Courier New"/>
        </w:rPr>
        <w:t>Exención en el pago de la contribución sobre Industria y Comercio del 100% por 5 (cinco) años.</w:t>
      </w:r>
    </w:p>
    <w:p>
      <w:pPr>
        <w:numPr>
          <w:ilvl w:val="0"/>
          <w:numId w:val="16"/>
        </w:numPr>
        <w:tabs>
          <w:tab w:val="clear" w:pos="1260" w:leader="none"/>
          <w:tab w:val="left" w:pos="1800" w:leader="none"/>
        </w:tabs>
        <w:ind w:firstLine="0"/>
        <w:jc w:val="both"/>
        <w:rPr>
          <w:rStyle w:val="C3"/>
          <w:rFonts w:ascii="Courier New" w:hAnsi="Courier New"/>
        </w:rPr>
      </w:pPr>
      <w:r>
        <w:rPr>
          <w:rStyle w:val="C3"/>
          <w:rFonts w:ascii="Courier New" w:hAnsi="Courier New"/>
        </w:rPr>
        <w:t>Exención en el pago de los Derechos de Construcción y Oficina del 100%.</w:t>
      </w:r>
    </w:p>
    <w:p>
      <w:pPr>
        <w:jc w:val="both"/>
        <w:rPr>
          <w:rStyle w:val="C3"/>
          <w:rFonts w:ascii="Courier New" w:hAnsi="Courier New"/>
        </w:rPr>
      </w:pPr>
    </w:p>
    <w:p>
      <w:pPr>
        <w:numPr>
          <w:ilvl w:val="0"/>
          <w:numId w:val="24"/>
        </w:numPr>
        <w:tabs>
          <w:tab w:val="clear" w:pos="360" w:leader="none"/>
          <w:tab w:val="left" w:pos="1080" w:leader="none"/>
        </w:tabs>
        <w:ind w:firstLine="0" w:left="720"/>
        <w:jc w:val="both"/>
        <w:rPr>
          <w:rStyle w:val="C3"/>
          <w:rFonts w:ascii="Courier New" w:hAnsi="Courier New"/>
        </w:rPr>
      </w:pPr>
      <w:r>
        <w:rPr>
          <w:rStyle w:val="C3"/>
          <w:rFonts w:ascii="Courier New" w:hAnsi="Courier New"/>
        </w:rPr>
        <w:t>Cuando se trate de las acciones previstas en el Artículo 3º inciso d):</w:t>
      </w:r>
    </w:p>
    <w:p>
      <w:pPr>
        <w:numPr>
          <w:ilvl w:val="0"/>
          <w:numId w:val="17"/>
        </w:numPr>
        <w:tabs>
          <w:tab w:val="clear" w:pos="1260" w:leader="none"/>
          <w:tab w:val="left" w:pos="1620" w:leader="none"/>
        </w:tabs>
        <w:ind w:firstLine="0"/>
        <w:jc w:val="both"/>
        <w:rPr>
          <w:rStyle w:val="C3"/>
          <w:rFonts w:ascii="Courier New" w:hAnsi="Courier New"/>
        </w:rPr>
      </w:pPr>
      <w:r>
        <w:rPr>
          <w:rStyle w:val="C3"/>
          <w:rFonts w:ascii="Courier New" w:hAnsi="Courier New"/>
        </w:rPr>
        <w:t>Exención en el pago de la contribución sobre Industria y Comercio del 100% por 5 (cinco) años.</w:t>
      </w:r>
    </w:p>
    <w:p>
      <w:pPr>
        <w:numPr>
          <w:ilvl w:val="0"/>
          <w:numId w:val="17"/>
        </w:numPr>
        <w:tabs>
          <w:tab w:val="clear" w:pos="1260" w:leader="none"/>
          <w:tab w:val="left" w:pos="1800" w:leader="none"/>
        </w:tabs>
        <w:ind w:firstLine="0"/>
        <w:jc w:val="both"/>
        <w:rPr>
          <w:rStyle w:val="C3"/>
          <w:rFonts w:ascii="Courier New" w:hAnsi="Courier New"/>
        </w:rPr>
      </w:pPr>
      <w:r>
        <w:rPr>
          <w:rStyle w:val="C3"/>
          <w:rFonts w:ascii="Courier New" w:hAnsi="Courier New"/>
        </w:rPr>
        <w:t>Exención en el pago de los Derechos de Construcción y Oficina del 100%.</w:t>
      </w:r>
    </w:p>
    <w:p>
      <w:pPr>
        <w:jc w:val="both"/>
        <w:rPr>
          <w:rStyle w:val="C3"/>
          <w:rFonts w:ascii="Courier New" w:hAnsi="Courier New"/>
        </w:rPr>
      </w:pPr>
    </w:p>
    <w:p>
      <w:pPr>
        <w:numPr>
          <w:ilvl w:val="0"/>
          <w:numId w:val="24"/>
        </w:numPr>
        <w:tabs>
          <w:tab w:val="clear" w:pos="360" w:leader="none"/>
          <w:tab w:val="left" w:pos="1080" w:leader="none"/>
        </w:tabs>
        <w:ind w:firstLine="0" w:left="720"/>
        <w:jc w:val="both"/>
        <w:rPr>
          <w:rStyle w:val="C3"/>
          <w:rFonts w:ascii="Courier New" w:hAnsi="Courier New"/>
        </w:rPr>
      </w:pPr>
      <w:r>
        <w:rPr>
          <w:rStyle w:val="C3"/>
          <w:rFonts w:ascii="Courier New" w:hAnsi="Courier New"/>
        </w:rPr>
        <w:t>Cuando se trate de las acciones previstas en el Artículo 3º inciso e):</w:t>
      </w:r>
    </w:p>
    <w:p>
      <w:pPr>
        <w:numPr>
          <w:ilvl w:val="0"/>
          <w:numId w:val="18"/>
        </w:numPr>
        <w:tabs>
          <w:tab w:val="clear" w:pos="1260" w:leader="none"/>
          <w:tab w:val="left" w:pos="1620" w:leader="none"/>
        </w:tabs>
        <w:ind w:firstLine="0"/>
        <w:jc w:val="both"/>
        <w:rPr>
          <w:rStyle w:val="C3"/>
          <w:rFonts w:ascii="Courier New" w:hAnsi="Courier New"/>
        </w:rPr>
      </w:pPr>
      <w:r>
        <w:rPr>
          <w:rStyle w:val="C3"/>
          <w:rFonts w:ascii="Courier New" w:hAnsi="Courier New"/>
        </w:rPr>
        <w:t>Exención en el pago de la contribución sobre Industria y Comercio del 100% por 5 (cinco) años.</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...///9.-</w:t>
      </w:r>
    </w:p>
    <w:p>
      <w:pPr>
        <w:jc w:val="both"/>
        <w:rPr>
          <w:rStyle w:val="C3"/>
          <w:rFonts w:ascii="Courier New" w:hAnsi="Courier New"/>
        </w:rPr>
      </w:pPr>
    </w:p>
    <w:p>
      <w:pPr>
        <w:numPr>
          <w:ilvl w:val="0"/>
          <w:numId w:val="18"/>
        </w:numPr>
        <w:tabs>
          <w:tab w:val="clear" w:pos="1260" w:leader="none"/>
          <w:tab w:val="left" w:pos="1800" w:leader="none"/>
        </w:tabs>
        <w:ind w:firstLine="0"/>
        <w:jc w:val="both"/>
        <w:rPr>
          <w:rStyle w:val="C3"/>
          <w:rFonts w:ascii="Courier New" w:hAnsi="Courier New"/>
        </w:rPr>
      </w:pPr>
      <w:r>
        <w:rPr>
          <w:rStyle w:val="C3"/>
          <w:rFonts w:ascii="Courier New" w:hAnsi="Courier New"/>
        </w:rPr>
        <w:t>Exención en el pago de los Derechos de Construcción y Oficina del 100%.</w:t>
      </w:r>
    </w:p>
    <w:p>
      <w:pPr>
        <w:jc w:val="both"/>
        <w:rPr>
          <w:rStyle w:val="C3"/>
          <w:rFonts w:ascii="Courier New" w:hAnsi="Courier New"/>
        </w:rPr>
      </w:pPr>
    </w:p>
    <w:p>
      <w:pPr>
        <w:numPr>
          <w:ilvl w:val="0"/>
          <w:numId w:val="24"/>
        </w:numPr>
        <w:tabs>
          <w:tab w:val="clear" w:pos="360" w:leader="none"/>
          <w:tab w:val="left" w:pos="1080" w:leader="none"/>
        </w:tabs>
        <w:ind w:firstLine="0" w:left="720"/>
        <w:jc w:val="both"/>
        <w:rPr>
          <w:rStyle w:val="C3"/>
          <w:rFonts w:ascii="Courier New" w:hAnsi="Courier New"/>
        </w:rPr>
      </w:pPr>
      <w:r>
        <w:rPr>
          <w:rStyle w:val="C3"/>
          <w:rFonts w:ascii="Courier New" w:hAnsi="Courier New"/>
        </w:rPr>
        <w:t>Cuando se trate de las acciones previstas en el Artículo 3º inciso f)</w:t>
      </w:r>
    </w:p>
    <w:p>
      <w:pPr>
        <w:numPr>
          <w:ilvl w:val="0"/>
          <w:numId w:val="19"/>
        </w:numPr>
        <w:tabs>
          <w:tab w:val="clear" w:pos="1260" w:leader="none"/>
          <w:tab w:val="left" w:pos="1620" w:leader="none"/>
        </w:tabs>
        <w:ind w:firstLine="0"/>
        <w:jc w:val="both"/>
        <w:rPr>
          <w:rStyle w:val="C3"/>
          <w:rFonts w:ascii="Courier New" w:hAnsi="Courier New"/>
        </w:rPr>
      </w:pPr>
      <w:r>
        <w:rPr>
          <w:rStyle w:val="C3"/>
          <w:rFonts w:ascii="Courier New" w:hAnsi="Courier New"/>
        </w:rPr>
        <w:t>Exención en el pago de la contribución sobre Industria y Comercio del 100% por 5 (cinco) años.</w:t>
      </w:r>
    </w:p>
    <w:p>
      <w:pPr>
        <w:numPr>
          <w:ilvl w:val="0"/>
          <w:numId w:val="19"/>
        </w:numPr>
        <w:tabs>
          <w:tab w:val="clear" w:pos="1260" w:leader="none"/>
          <w:tab w:val="left" w:pos="1800" w:leader="none"/>
        </w:tabs>
        <w:ind w:firstLine="0"/>
        <w:jc w:val="both"/>
        <w:rPr>
          <w:rStyle w:val="C3"/>
          <w:rFonts w:ascii="Courier New" w:hAnsi="Courier New"/>
        </w:rPr>
      </w:pPr>
      <w:r>
        <w:rPr>
          <w:rStyle w:val="C3"/>
          <w:rFonts w:ascii="Courier New" w:hAnsi="Courier New"/>
        </w:rPr>
        <w:t>Exención en el pago de los Derechos de Construcción y Oficina del 100%.</w:t>
      </w:r>
    </w:p>
    <w:p>
      <w:pPr>
        <w:jc w:val="both"/>
        <w:rPr>
          <w:rStyle w:val="C3"/>
          <w:rFonts w:ascii="Courier New" w:hAnsi="Courier New"/>
        </w:rPr>
      </w:pPr>
    </w:p>
    <w:p>
      <w:pPr>
        <w:numPr>
          <w:ilvl w:val="0"/>
          <w:numId w:val="24"/>
        </w:numPr>
        <w:tabs>
          <w:tab w:val="clear" w:pos="360" w:leader="none"/>
          <w:tab w:val="left" w:pos="1080" w:leader="none"/>
        </w:tabs>
        <w:ind w:firstLine="0" w:left="720"/>
        <w:jc w:val="both"/>
        <w:rPr>
          <w:rStyle w:val="C3"/>
          <w:rFonts w:ascii="Courier New" w:hAnsi="Courier New"/>
        </w:rPr>
      </w:pPr>
      <w:r>
        <w:rPr>
          <w:rStyle w:val="C3"/>
          <w:rFonts w:ascii="Courier New" w:hAnsi="Courier New"/>
        </w:rPr>
        <w:t>Cuando se trate de las acciones previstas en el Artículo 3º inciso g):</w:t>
      </w:r>
    </w:p>
    <w:p>
      <w:pPr>
        <w:numPr>
          <w:ilvl w:val="2"/>
          <w:numId w:val="6"/>
        </w:numPr>
        <w:tabs>
          <w:tab w:val="left" w:pos="1620" w:leader="none"/>
          <w:tab w:val="clear" w:pos="2700" w:leader="none"/>
        </w:tabs>
        <w:ind w:firstLine="0" w:left="1260"/>
        <w:jc w:val="both"/>
        <w:rPr>
          <w:rStyle w:val="C3"/>
          <w:rFonts w:ascii="Courier New" w:hAnsi="Courier New"/>
        </w:rPr>
      </w:pPr>
      <w:r>
        <w:rPr>
          <w:rStyle w:val="C3"/>
          <w:rFonts w:ascii="Courier New" w:hAnsi="Courier New"/>
        </w:rPr>
        <w:t>Exención en el pago de la contribución sobre Industria y Comercio del 50% por 5 (cinco) años.</w:t>
      </w:r>
    </w:p>
    <w:p>
      <w:pPr>
        <w:pStyle w:val="P8"/>
      </w:pPr>
      <w:r>
        <w:t>II) Exención en el pago de los Derechos de Construcción y Oficina del 50%.</w:t>
      </w:r>
    </w:p>
    <w:p>
      <w:pPr>
        <w:jc w:val="both"/>
        <w:rPr>
          <w:rStyle w:val="C3"/>
          <w:rFonts w:ascii="Courier New" w:hAnsi="Courier New"/>
        </w:rPr>
      </w:pPr>
    </w:p>
    <w:p>
      <w:pPr>
        <w:numPr>
          <w:ilvl w:val="0"/>
          <w:numId w:val="24"/>
        </w:numPr>
        <w:tabs>
          <w:tab w:val="clear" w:pos="360" w:leader="none"/>
          <w:tab w:val="left" w:pos="1080" w:leader="none"/>
        </w:tabs>
        <w:ind w:firstLine="0" w:left="720"/>
        <w:jc w:val="both"/>
        <w:rPr>
          <w:rStyle w:val="C3"/>
          <w:rFonts w:ascii="Courier New" w:hAnsi="Courier New"/>
        </w:rPr>
      </w:pPr>
      <w:r>
        <w:rPr>
          <w:rStyle w:val="C3"/>
          <w:rFonts w:ascii="Courier New" w:hAnsi="Courier New"/>
        </w:rPr>
        <w:t>Cuando se trate de las acciones previstas en el Artículo 3º inciso h):</w:t>
      </w:r>
    </w:p>
    <w:p>
      <w:pPr>
        <w:pStyle w:val="P8"/>
        <w:tabs>
          <w:tab w:val="left" w:pos="1620" w:leader="none"/>
          <w:tab w:val="clear" w:pos="1800" w:leader="none"/>
        </w:tabs>
      </w:pPr>
      <w:r>
        <w:t>I) Exención en el pago de la contribución sobre Industria y Comercio del 100% por 5 (cinco) años.</w:t>
      </w:r>
    </w:p>
    <w:p>
      <w:pPr>
        <w:jc w:val="both"/>
        <w:rPr>
          <w:rStyle w:val="C3"/>
          <w:rFonts w:ascii="Courier New" w:hAnsi="Courier New"/>
        </w:rPr>
      </w:pPr>
    </w:p>
    <w:p>
      <w:pPr>
        <w:numPr>
          <w:ilvl w:val="0"/>
          <w:numId w:val="24"/>
        </w:numPr>
        <w:tabs>
          <w:tab w:val="clear" w:pos="360" w:leader="none"/>
          <w:tab w:val="left" w:pos="1080" w:leader="none"/>
        </w:tabs>
        <w:ind w:firstLine="0" w:left="720"/>
        <w:jc w:val="both"/>
        <w:rPr>
          <w:rStyle w:val="C3"/>
          <w:rFonts w:ascii="Courier New" w:hAnsi="Courier New"/>
        </w:rPr>
      </w:pPr>
      <w:r>
        <w:rPr>
          <w:rStyle w:val="C3"/>
          <w:rFonts w:ascii="Courier New" w:hAnsi="Courier New"/>
        </w:rPr>
        <w:t>Cuando se trate de las acciones previstas en el Artículo 3º inciso i):</w:t>
      </w:r>
    </w:p>
    <w:p>
      <w:pPr>
        <w:pStyle w:val="P8"/>
        <w:tabs>
          <w:tab w:val="clear" w:pos="1800" w:leader="none"/>
        </w:tabs>
      </w:pPr>
      <w:r>
        <w:t>I) Exención en el pago de la contribución sobre Industria y Comercio del 100% por 5 (cinco) años.</w:t>
      </w:r>
    </w:p>
    <w:p>
      <w:pPr>
        <w:jc w:val="both"/>
        <w:rPr>
          <w:rStyle w:val="C3"/>
          <w:rFonts w:ascii="Courier New" w:hAnsi="Courier New"/>
        </w:rPr>
      </w:pPr>
    </w:p>
    <w:p>
      <w:pPr>
        <w:numPr>
          <w:ilvl w:val="0"/>
          <w:numId w:val="24"/>
        </w:numPr>
        <w:tabs>
          <w:tab w:val="clear" w:pos="360" w:leader="none"/>
          <w:tab w:val="left" w:pos="1260" w:leader="none"/>
        </w:tabs>
        <w:ind w:firstLine="0" w:left="720"/>
        <w:jc w:val="both"/>
        <w:rPr>
          <w:rStyle w:val="C3"/>
          <w:rFonts w:ascii="Courier New" w:hAnsi="Courier New"/>
        </w:rPr>
      </w:pPr>
      <w:r>
        <w:rPr>
          <w:rStyle w:val="C3"/>
          <w:rFonts w:ascii="Courier New" w:hAnsi="Courier New"/>
        </w:rPr>
        <w:t>Cuando se trate de las acciones previstas en el Artículo 3º inciso j) quedará sujeto a disposiciones del Departamento Ejecutivo Municipal.</w:t>
      </w:r>
    </w:p>
    <w:p>
      <w:pPr>
        <w:jc w:val="both"/>
        <w:rPr>
          <w:rStyle w:val="C3"/>
          <w:rFonts w:ascii="Courier New" w:hAnsi="Courier New"/>
        </w:rPr>
      </w:pPr>
    </w:p>
    <w:p>
      <w:pPr>
        <w:numPr>
          <w:ilvl w:val="0"/>
          <w:numId w:val="24"/>
        </w:numPr>
        <w:tabs>
          <w:tab w:val="clear" w:pos="360" w:leader="none"/>
          <w:tab w:val="left" w:pos="1260" w:leader="none"/>
        </w:tabs>
        <w:ind w:firstLine="0" w:left="720"/>
        <w:jc w:val="both"/>
        <w:rPr>
          <w:rStyle w:val="C3"/>
          <w:rFonts w:ascii="Courier New" w:hAnsi="Courier New"/>
        </w:rPr>
      </w:pPr>
      <w:r>
        <w:rPr>
          <w:rStyle w:val="C3"/>
          <w:rFonts w:ascii="Courier New" w:hAnsi="Courier New"/>
        </w:rPr>
        <w:t>Cuando se trate de las acciones previstas en el Artículo 3º inciso k) quedará sujeto a disposiciones del Departamento Ejecutivo Municipal.</w:t>
      </w:r>
    </w:p>
    <w:p>
      <w:pPr>
        <w:jc w:val="both"/>
        <w:rPr>
          <w:rStyle w:val="C3"/>
          <w:rFonts w:ascii="Courier New" w:hAnsi="Courier New"/>
        </w:rPr>
      </w:pPr>
    </w:p>
    <w:p>
      <w:pPr>
        <w:numPr>
          <w:ilvl w:val="0"/>
          <w:numId w:val="24"/>
        </w:numPr>
        <w:tabs>
          <w:tab w:val="clear" w:pos="360" w:leader="none"/>
          <w:tab w:val="left" w:pos="1260" w:leader="none"/>
        </w:tabs>
        <w:ind w:firstLine="0" w:left="720"/>
        <w:jc w:val="both"/>
        <w:rPr>
          <w:rStyle w:val="C3"/>
          <w:rFonts w:ascii="Courier New" w:hAnsi="Courier New"/>
        </w:rPr>
      </w:pPr>
      <w:r>
        <w:rPr>
          <w:rStyle w:val="C3"/>
          <w:rFonts w:ascii="Courier New" w:hAnsi="Courier New"/>
        </w:rPr>
        <w:t>Cuando se trate de las acciones previstas en el Artículo 3º inciso l) quedará sujeto a disposiciones del Departamento Ejecutivo Municipal.</w:t>
      </w:r>
    </w:p>
    <w:p>
      <w:pPr>
        <w:jc w:val="right"/>
        <w:rPr>
          <w:rStyle w:val="C3"/>
          <w:rFonts w:ascii="Courier New" w:hAnsi="Courier New"/>
        </w:rPr>
      </w:pPr>
    </w:p>
    <w:p>
      <w:pPr>
        <w:jc w:val="right"/>
        <w:rPr>
          <w:rStyle w:val="C3"/>
          <w:rFonts w:ascii="Courier New" w:hAnsi="Courier New"/>
        </w:rPr>
      </w:pPr>
      <w:r>
        <w:rPr>
          <w:rStyle w:val="C3"/>
          <w:rFonts w:ascii="Courier New" w:hAnsi="Courier New"/>
        </w:rPr>
        <w:t>...///</w:t>
      </w: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r>
        <w:rPr>
          <w:rStyle w:val="C3"/>
          <w:rFonts w:ascii="Courier New" w:hAnsi="Courier New"/>
        </w:rPr>
        <w:t>...///10.-</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Art.12</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Municipalidad de Alta Gracia realizará las gestiones pertinentes ante los diversos organismos, a fin de implementar distintos instrumentos de Promoción establecidos en el Artículo 4º de la presente Ordenanza.</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Art.13</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beneficios establecidos en la presente Ordenanza con sus alcances y extensiones, en ningún caso podrán exceder el 100% de las obligaciones tributarias de que se trate.</w:t>
      </w: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OBLIGACIONES Y SANCIONES.</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Art.14</w:t>
      </w:r>
      <w:r>
        <w:rPr>
          <w:rStyle w:val="C3"/>
          <w:rFonts w:ascii="Courier New" w:hAnsi="Courier New"/>
        </w:rPr>
        <w:t xml:space="preserve">: </w:t>
      </w:r>
      <w:r>
        <w:rPr>
          <w:rStyle w:val="C3"/>
          <w:rFonts w:ascii="Courier New" w:hAnsi="Courier New"/>
          <w:b w:val="1"/>
        </w:rPr>
        <w:t>OBLÍGUESE</w:t>
      </w:r>
      <w:r>
        <w:rPr>
          <w:rStyle w:val="C3"/>
          <w:rFonts w:ascii="Courier New" w:hAnsi="Courier New"/>
        </w:rPr>
        <w:t xml:space="preserve"> al beneficiario a desarrollar las actividades promovidas durante el plazo de vigencia de los beneficios.</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Art.15</w:t>
      </w:r>
      <w:r>
        <w:rPr>
          <w:rStyle w:val="C3"/>
          <w:rFonts w:ascii="Courier New" w:hAnsi="Courier New"/>
        </w:rPr>
        <w:t xml:space="preserve">: </w:t>
      </w:r>
      <w:r>
        <w:rPr>
          <w:rStyle w:val="C3"/>
          <w:rFonts w:ascii="Courier New" w:hAnsi="Courier New"/>
          <w:b w:val="1"/>
        </w:rPr>
        <w:t>APLÍQUENSE</w:t>
      </w:r>
      <w:r>
        <w:rPr>
          <w:rStyle w:val="C3"/>
          <w:rFonts w:ascii="Courier New" w:hAnsi="Courier New"/>
        </w:rPr>
        <w:t xml:space="preserve"> en caso de incumplimiento total o parcial de las disposiciones establecidas en esta Ordenanza y su Reglamentación imputable al beneficiario, las  siguientes sanciones, que serán impuestas por la Autoridad de Aplicación:</w:t>
      </w:r>
    </w:p>
    <w:p>
      <w:pPr>
        <w:jc w:val="both"/>
        <w:rPr>
          <w:rStyle w:val="C3"/>
          <w:rFonts w:ascii="Courier New" w:hAnsi="Courier New"/>
        </w:rPr>
      </w:pPr>
    </w:p>
    <w:p>
      <w:pPr>
        <w:numPr>
          <w:ilvl w:val="0"/>
          <w:numId w:val="10"/>
        </w:numPr>
        <w:tabs>
          <w:tab w:val="left" w:pos="1080" w:leader="none"/>
        </w:tabs>
        <w:ind w:firstLine="0"/>
        <w:jc w:val="both"/>
        <w:rPr>
          <w:rStyle w:val="C3"/>
          <w:rFonts w:ascii="Courier New" w:hAnsi="Courier New"/>
        </w:rPr>
      </w:pPr>
      <w:r>
        <w:rPr>
          <w:rStyle w:val="C3"/>
          <w:rFonts w:ascii="Courier New" w:hAnsi="Courier New"/>
        </w:rPr>
        <w:t>Pérdida de los beneficios acordados.</w:t>
      </w:r>
    </w:p>
    <w:p>
      <w:pPr>
        <w:tabs>
          <w:tab w:val="left" w:pos="1080" w:leader="none"/>
        </w:tabs>
        <w:ind w:left="720"/>
        <w:jc w:val="both"/>
        <w:rPr>
          <w:rStyle w:val="C3"/>
          <w:rFonts w:ascii="Courier New" w:hAnsi="Courier New"/>
        </w:rPr>
      </w:pPr>
    </w:p>
    <w:p>
      <w:pPr>
        <w:numPr>
          <w:ilvl w:val="0"/>
          <w:numId w:val="10"/>
        </w:numPr>
        <w:tabs>
          <w:tab w:val="left" w:pos="1080" w:leader="none"/>
        </w:tabs>
        <w:ind w:firstLine="0"/>
        <w:jc w:val="both"/>
        <w:rPr>
          <w:rStyle w:val="C3"/>
          <w:rFonts w:ascii="Courier New" w:hAnsi="Courier New"/>
        </w:rPr>
      </w:pPr>
      <w:r>
        <w:rPr>
          <w:rStyle w:val="C3"/>
          <w:rFonts w:ascii="Courier New" w:hAnsi="Courier New"/>
        </w:rPr>
        <w:t>Caducidad de los compromisos de venta, concesión, locación o comodato.</w:t>
      </w:r>
    </w:p>
    <w:p>
      <w:pPr>
        <w:tabs>
          <w:tab w:val="left" w:pos="1080" w:leader="none"/>
        </w:tabs>
        <w:ind w:left="720"/>
        <w:jc w:val="both"/>
        <w:rPr>
          <w:rStyle w:val="C3"/>
          <w:rFonts w:ascii="Courier New" w:hAnsi="Courier New"/>
        </w:rPr>
      </w:pPr>
    </w:p>
    <w:p>
      <w:pPr>
        <w:numPr>
          <w:ilvl w:val="0"/>
          <w:numId w:val="10"/>
        </w:numPr>
        <w:tabs>
          <w:tab w:val="left" w:pos="0" w:leader="none"/>
          <w:tab w:val="clear" w:pos="720" w:leader="none"/>
          <w:tab w:val="left" w:pos="1080" w:leader="none"/>
        </w:tabs>
        <w:ind w:firstLine="0"/>
        <w:jc w:val="both"/>
        <w:rPr>
          <w:rStyle w:val="C3"/>
          <w:rFonts w:ascii="Courier New" w:hAnsi="Courier New"/>
        </w:rPr>
      </w:pPr>
      <w:r>
        <w:rPr>
          <w:rStyle w:val="C3"/>
          <w:rFonts w:ascii="Courier New" w:hAnsi="Courier New"/>
        </w:rPr>
        <w:t>Reintegro del subsidio acordado, reajustado según el índice de actualización que establezca la reglamentación e intereses.</w:t>
      </w:r>
    </w:p>
    <w:p>
      <w:pPr>
        <w:tabs>
          <w:tab w:val="left" w:pos="1080" w:leader="none"/>
        </w:tabs>
        <w:ind w:left="720"/>
        <w:jc w:val="both"/>
        <w:rPr>
          <w:rStyle w:val="C3"/>
          <w:rFonts w:ascii="Courier New" w:hAnsi="Courier New"/>
        </w:rPr>
      </w:pPr>
    </w:p>
    <w:p>
      <w:pPr>
        <w:numPr>
          <w:ilvl w:val="0"/>
          <w:numId w:val="10"/>
        </w:numPr>
        <w:tabs>
          <w:tab w:val="left" w:pos="0" w:leader="none"/>
          <w:tab w:val="clear" w:pos="720" w:leader="none"/>
          <w:tab w:val="left" w:pos="1080" w:leader="none"/>
        </w:tabs>
        <w:ind w:firstLine="0"/>
        <w:jc w:val="both"/>
        <w:rPr>
          <w:rStyle w:val="C3"/>
          <w:rFonts w:ascii="Courier New" w:hAnsi="Courier New"/>
        </w:rPr>
      </w:pPr>
      <w:r>
        <w:rPr>
          <w:rStyle w:val="C3"/>
          <w:rFonts w:ascii="Courier New" w:hAnsi="Courier New"/>
        </w:rPr>
        <w:t>Exigibilidad del pago del tributo exento o diferido reajustado según el índice de actualización que establezca la reglamentación vigente e intereses.</w:t>
      </w:r>
    </w:p>
    <w:p>
      <w:pPr>
        <w:tabs>
          <w:tab w:val="left" w:pos="1080" w:leader="none"/>
        </w:tabs>
        <w:ind w:left="720"/>
        <w:jc w:val="both"/>
        <w:rPr>
          <w:rStyle w:val="C3"/>
          <w:rFonts w:ascii="Courier New" w:hAnsi="Courier New"/>
        </w:rPr>
      </w:pPr>
    </w:p>
    <w:p>
      <w:pPr>
        <w:numPr>
          <w:ilvl w:val="0"/>
          <w:numId w:val="10"/>
        </w:numPr>
        <w:tabs>
          <w:tab w:val="clear" w:pos="720" w:leader="none"/>
          <w:tab w:val="left" w:pos="1080" w:leader="none"/>
        </w:tabs>
        <w:ind w:firstLine="0"/>
        <w:jc w:val="both"/>
        <w:rPr>
          <w:rStyle w:val="C3"/>
          <w:rFonts w:ascii="Courier New" w:hAnsi="Courier New"/>
        </w:rPr>
      </w:pPr>
      <w:r>
        <w:rPr>
          <w:rStyle w:val="C3"/>
          <w:rFonts w:ascii="Courier New" w:hAnsi="Courier New"/>
        </w:rPr>
        <w:t>Exigibilidad del total de los préstamos acordados en la forma y condiciones que establezca la entidad crediticia otorgante del préstamo.</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...///11.-</w:t>
      </w:r>
    </w:p>
    <w:p>
      <w:pPr>
        <w:jc w:val="both"/>
        <w:rPr>
          <w:rStyle w:val="C3"/>
          <w:rFonts w:ascii="Courier New" w:hAnsi="Courier New"/>
        </w:rPr>
      </w:pPr>
    </w:p>
    <w:p>
      <w:pPr>
        <w:numPr>
          <w:ilvl w:val="0"/>
          <w:numId w:val="10"/>
        </w:numPr>
        <w:tabs>
          <w:tab w:val="clear" w:pos="720" w:leader="none"/>
          <w:tab w:val="left" w:pos="1080" w:leader="none"/>
        </w:tabs>
        <w:ind w:firstLine="0"/>
        <w:jc w:val="both"/>
        <w:rPr>
          <w:rStyle w:val="C3"/>
          <w:rFonts w:ascii="Courier New" w:hAnsi="Courier New"/>
        </w:rPr>
      </w:pPr>
      <w:r>
        <w:rPr>
          <w:rStyle w:val="C3"/>
          <w:rFonts w:ascii="Courier New" w:hAnsi="Courier New"/>
        </w:rPr>
        <w:t>Multas aplicables en porcentajes al monto actualizado de la inversión prevista, cuya graduación se fijará en la Reglamentación.</w:t>
      </w: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DISPOSICIONES GENERALES.</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Art.16</w:t>
      </w:r>
      <w:r>
        <w:rPr>
          <w:rStyle w:val="C3"/>
          <w:rFonts w:ascii="Courier New" w:hAnsi="Courier New"/>
          <w:b w:val="1"/>
        </w:rPr>
        <w:t>:</w:t>
      </w:r>
      <w:r>
        <w:rPr>
          <w:rStyle w:val="C3"/>
          <w:rFonts w:ascii="Courier New" w:hAnsi="Courier New"/>
        </w:rPr>
        <w:t xml:space="preserve"> </w:t>
      </w:r>
      <w:r>
        <w:rPr>
          <w:rStyle w:val="C3"/>
          <w:rFonts w:ascii="Courier New" w:hAnsi="Courier New"/>
          <w:b w:val="1"/>
        </w:rPr>
        <w:t>DERÓGUESE</w:t>
      </w:r>
      <w:r>
        <w:rPr>
          <w:rStyle w:val="C3"/>
          <w:rFonts w:ascii="Courier New" w:hAnsi="Courier New"/>
        </w:rPr>
        <w:t xml:space="preserve"> el Artículo 2º de la Ordenanza Nº 1.616.</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Art.17</w:t>
      </w:r>
      <w:r>
        <w:rPr>
          <w:rStyle w:val="C3"/>
          <w:rFonts w:ascii="Courier New" w:hAnsi="Courier New"/>
          <w:b w:val="1"/>
        </w:rPr>
        <w:t>: LA</w:t>
      </w:r>
      <w:r>
        <w:rPr>
          <w:rStyle w:val="C3"/>
          <w:rFonts w:ascii="Courier New" w:hAnsi="Courier New"/>
        </w:rPr>
        <w:t xml:space="preserve"> Dirección de Turismo de la Municipalidad de Alta Gracia será la Autoridad de Aplicación de la presente Ordenanza.</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Art.18</w:t>
      </w:r>
      <w:r>
        <w:rPr>
          <w:rStyle w:val="C3"/>
          <w:rFonts w:ascii="Courier New" w:hAnsi="Courier New"/>
          <w:b w:val="1"/>
        </w:rPr>
        <w:t>: CUÉNTENSE</w:t>
      </w:r>
      <w:r>
        <w:rPr>
          <w:rStyle w:val="C3"/>
          <w:rFonts w:ascii="Courier New" w:hAnsi="Courier New"/>
        </w:rPr>
        <w:t xml:space="preserve"> los plazos establecidos en esta Ordenanza  en forma corrida.</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Art.19</w:t>
      </w:r>
      <w:r>
        <w:rPr>
          <w:rStyle w:val="C3"/>
          <w:rFonts w:ascii="Courier New" w:hAnsi="Courier New"/>
        </w:rPr>
        <w:t xml:space="preserve">: </w:t>
      </w:r>
      <w:r>
        <w:rPr>
          <w:rStyle w:val="C3"/>
          <w:rFonts w:ascii="Courier New" w:hAnsi="Courier New"/>
          <w:b w:val="1"/>
        </w:rPr>
        <w:t>REGLAMÉNTESE</w:t>
      </w:r>
      <w:r>
        <w:rPr>
          <w:rStyle w:val="C3"/>
          <w:rFonts w:ascii="Courier New" w:hAnsi="Courier New"/>
        </w:rPr>
        <w:t xml:space="preserve"> la presente Ordenanza en el término de ciento ochenta (180) días a partir de su promulgación.</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Art.20</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comuníquese, publíquese en el Boletín Oficial de la ciudad de Alta Gracia, incorpórese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5"/>
      </w:pPr>
      <w:r>
        <w:t>DADA EN LA SALA DE SESIONES DEL HONORABLE CONCEJO DELIBERANTE A DIECIOCHO DIAS DEL MES DE NOVIEMBRE DEL AÑO DOS MIL CUATRO.</w:t>
      </w: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418" w:top="1701" w:bottom="1418" w:header="720" w:footer="720"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9"/>
        <w:tabs>
          <w:tab w:val="left" w:pos="3150" w:leader="none"/>
        </w:tabs>
        <w:rPr>
          <w:rStyle w:val="C3"/>
          <w:rFonts w:ascii="Calibri" w:hAnsi="Calibri"/>
        </w:rPr>
      </w:pPr>
      <w:r>
        <w:rPr>
          <w:rStyle w:val="C5"/>
          <w:rFonts w:ascii="Times New Roman" w:hAnsi="Times New Roman"/>
        </w:rPr>
        <w:footnoteRef/>
      </w:r>
      <w:r>
        <w:rPr>
          <w:rStyle w:val="C3"/>
          <w:rFonts w:ascii="Calibri" w:hAnsi="Calibri"/>
        </w:rPr>
        <w:t xml:space="preserve"> Texto ordenado según Ord. Nro. 8253.</w:t>
      </w:r>
    </w:p>
    <w:p>
      <w:pPr>
        <w:pStyle w:val="P9"/>
        <w:tabs>
          <w:tab w:val="left" w:pos="3150" w:leader="none"/>
        </w:tabs>
        <w:rPr>
          <w:rStyle w:val="C3"/>
          <w:rFonts w:ascii="Calibri" w:hAnsi="Calibri"/>
          <w:i w:val="1"/>
        </w:rPr>
      </w:pPr>
      <w:r>
        <w:rPr>
          <w:rStyle w:val="C3"/>
          <w:rFonts w:ascii="Calibri" w:hAnsi="Calibri"/>
        </w:rPr>
        <w:t xml:space="preserve">Texto original: </w:t>
      </w:r>
      <w:r>
        <w:rPr>
          <w:rStyle w:val="C3"/>
          <w:rFonts w:ascii="Calibri" w:hAnsi="Calibri"/>
          <w:i w:val="1"/>
        </w:rPr>
        <w:t>“</w:t>
      </w:r>
      <w:r>
        <w:rPr>
          <w:rStyle w:val="C3"/>
          <w:rFonts w:ascii="Calibri" w:hAnsi="Calibri"/>
          <w:i w:val="1"/>
        </w:rPr>
        <w:t>LAS personas que proyecten realizar alguna de las acciones previstas en el artículo 3º, podrán solicitar al Organismo de Aplicación la declaración de “Beneficiario Provisorio”</w:t>
      </w:r>
      <w:r>
        <w:rPr>
          <w:rStyle w:val="C3"/>
          <w:rFonts w:ascii="Calibri" w:hAnsi="Calibri"/>
          <w:i w:val="1"/>
        </w:rPr>
        <w:t>, a cuyo fin deberán constituir domicilio en la ciudad de Alta Gracia, prestar garantía real ante la Dirección de Ingresos Públicos, y cumplimentar con los requisitos que establezca la Reglamentación.</w:t>
      </w:r>
    </w:p>
    <w:p>
      <w:pPr>
        <w:pStyle w:val="P9"/>
        <w:tabs>
          <w:tab w:val="left" w:pos="3150" w:leader="none"/>
        </w:tabs>
        <w:rPr>
          <w:rStyle w:val="C3"/>
          <w:rFonts w:ascii="Calibri" w:hAnsi="Calibri"/>
        </w:rPr>
      </w:pPr>
      <w:r>
        <w:rPr>
          <w:rStyle w:val="C3"/>
          <w:rFonts w:ascii="Calibri" w:hAnsi="Calibri"/>
          <w:i w:val="1"/>
        </w:rPr>
        <w:t>Dicha declaración se realizará por Decreto del Departam</w:t>
      </w:r>
      <w:r>
        <w:rPr>
          <w:rStyle w:val="C3"/>
          <w:rFonts w:ascii="Calibri" w:hAnsi="Calibri"/>
          <w:i w:val="1"/>
        </w:rPr>
        <w:t>ento Ejecutivo Municipal</w:t>
      </w:r>
      <w:r>
        <w:rPr>
          <w:rStyle w:val="C3"/>
          <w:rFonts w:ascii="Calibri" w:hAnsi="Calibri"/>
          <w:i w:val="1"/>
        </w:rPr>
        <w:t>”</w:t>
      </w:r>
      <w:r>
        <w:rPr>
          <w:rStyle w:val="C3"/>
          <w:rFonts w:ascii="Calibri" w:hAnsi="Calibri"/>
        </w:rPr>
        <w:t>.</w:t>
      </w:r>
    </w:p>
  </w:footnote>
</w:footnotes>
</file>

<file path=word/numbering.xml><?xml version="1.0" encoding="utf-8"?>
<w:numbering xmlns:w="http://schemas.openxmlformats.org/wordprocessingml/2006/main">
  <w:abstractNum w:abstractNumId="0">
    <w:nsid w:val="03AF042B"/>
    <w:multiLevelType w:val="multilevel"/>
    <w:lvl w:ilvl="0">
      <w:start w:val="1"/>
      <w:numFmt w:val="upperRoman"/>
      <w:suff w:val="tab"/>
      <w:lvlText w:val="%1)"/>
      <w:lvlJc w:val="left"/>
      <w:pPr>
        <w:ind w:hanging="720" w:left="1260"/>
        <w:tabs>
          <w:tab w:val="left" w:pos="126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1">
    <w:nsid w:val="062573AC"/>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306E10"/>
    <w:multiLevelType w:val="multilevel"/>
    <w:lvl w:ilvl="0">
      <w:start w:val="6"/>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25A2CB4"/>
    <w:multiLevelType w:val="multilevel"/>
    <w:lvl w:ilvl="0">
      <w:start w:val="1"/>
      <w:numFmt w:val="upperRoman"/>
      <w:suff w:val="tab"/>
      <w:lvlText w:val="%1)"/>
      <w:lvlJc w:val="left"/>
      <w:pPr>
        <w:ind w:hanging="720" w:left="1260"/>
        <w:tabs>
          <w:tab w:val="left" w:pos="126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4">
    <w:nsid w:val="14401F2F"/>
    <w:multiLevelType w:val="multilevel"/>
    <w:lvl w:ilvl="0">
      <w:start w:val="1"/>
      <w:numFmt w:val="upperRoman"/>
      <w:suff w:val="tab"/>
      <w:lvlText w:val="%1)"/>
      <w:lvlJc w:val="left"/>
      <w:pPr>
        <w:ind w:hanging="720" w:left="1260"/>
        <w:tabs>
          <w:tab w:val="left" w:pos="126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5">
    <w:nsid w:val="1BD457ED"/>
    <w:multiLevelType w:val="multilevel"/>
    <w:lvl w:ilvl="0">
      <w:start w:val="1"/>
      <w:numFmt w:val="upperRoman"/>
      <w:suff w:val="tab"/>
      <w:lvlText w:val="%1)"/>
      <w:lvlJc w:val="left"/>
      <w:pPr>
        <w:ind w:hanging="720" w:left="1260"/>
        <w:tabs>
          <w:tab w:val="left" w:pos="126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6">
    <w:nsid w:val="1DA87F15"/>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252D665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2A3A3DAE"/>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2A443BBD"/>
    <w:multiLevelType w:val="multilevel"/>
    <w:lvl w:ilvl="0">
      <w:start w:val="3"/>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369B0782"/>
    <w:multiLevelType w:val="multilevel"/>
    <w:lvl w:ilvl="0">
      <w:start w:val="5"/>
      <w:numFmt w:val="lowerLetter"/>
      <w:suff w:val="tab"/>
      <w:lvlText w:val="%1)"/>
      <w:lvlJc w:val="left"/>
      <w:pPr>
        <w:ind w:hanging="360" w:left="360"/>
        <w:tabs>
          <w:tab w:val="left" w:pos="360" w:leader="none"/>
        </w:tabs>
      </w:pPr>
      <w:rPr>
        <w:b w:val="1"/>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38CB0A62"/>
    <w:multiLevelType w:val="multilevel"/>
    <w:lvl w:ilvl="0">
      <w:start w:val="2"/>
      <w:numFmt w:val="lowerLetter"/>
      <w:suff w:val="tab"/>
      <w:lvlText w:val="%1)"/>
      <w:lvlJc w:val="left"/>
      <w:pPr>
        <w:ind w:hanging="360" w:left="360"/>
        <w:tabs>
          <w:tab w:val="left" w:pos="360" w:leader="none"/>
        </w:tabs>
      </w:pPr>
      <w:rPr>
        <w:b w:val="1"/>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44123867"/>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4547073E"/>
    <w:multiLevelType w:val="hybridMultilevel"/>
    <w:lvl w:ilvl="0" w:tplc="62B9753E">
      <w:start w:val="2"/>
      <w:numFmt w:val="bullet"/>
      <w:suff w:val="tab"/>
      <w:lvlText w:val="-"/>
      <w:lvlJc w:val="left"/>
      <w:pPr>
        <w:ind w:hanging="360" w:left="720"/>
        <w:tabs>
          <w:tab w:val="left" w:pos="720" w:leader="none"/>
        </w:tabs>
      </w:pPr>
      <w:rPr>
        <w:rFonts w:ascii="Times New Roman" w:hAnsi="Times New Roman"/>
      </w:rPr>
    </w:lvl>
    <w:lvl w:ilvl="1" w:tplc="46A2EC8B">
      <w:start w:val="1"/>
      <w:numFmt w:val="bullet"/>
      <w:suff w:val="tab"/>
      <w:lvlText w:val="o"/>
      <w:lvlJc w:val="left"/>
      <w:pPr>
        <w:ind w:hanging="360" w:left="1440"/>
        <w:tabs>
          <w:tab w:val="left" w:pos="1440" w:leader="none"/>
        </w:tabs>
      </w:pPr>
      <w:rPr>
        <w:rFonts w:ascii="Courier New" w:hAnsi="Courier New"/>
      </w:rPr>
    </w:lvl>
    <w:lvl w:ilvl="2" w:tplc="773999C5">
      <w:start w:val="1"/>
      <w:numFmt w:val="bullet"/>
      <w:suff w:val="tab"/>
      <w:lvlText w:val=""/>
      <w:lvlJc w:val="left"/>
      <w:pPr>
        <w:ind w:hanging="360" w:left="2160"/>
        <w:tabs>
          <w:tab w:val="left" w:pos="2160" w:leader="none"/>
        </w:tabs>
      </w:pPr>
      <w:rPr>
        <w:rFonts w:ascii="Wingdings" w:hAnsi="Wingdings"/>
      </w:rPr>
    </w:lvl>
    <w:lvl w:ilvl="3" w:tplc="0EE7559E">
      <w:start w:val="1"/>
      <w:numFmt w:val="bullet"/>
      <w:suff w:val="tab"/>
      <w:lvlText w:val=""/>
      <w:lvlJc w:val="left"/>
      <w:pPr>
        <w:ind w:hanging="360" w:left="2880"/>
        <w:tabs>
          <w:tab w:val="left" w:pos="2880" w:leader="none"/>
        </w:tabs>
      </w:pPr>
      <w:rPr>
        <w:rFonts w:ascii="Symbol" w:hAnsi="Symbol"/>
      </w:rPr>
    </w:lvl>
    <w:lvl w:ilvl="4" w:tplc="263E4952">
      <w:start w:val="1"/>
      <w:numFmt w:val="bullet"/>
      <w:suff w:val="tab"/>
      <w:lvlText w:val="o"/>
      <w:lvlJc w:val="left"/>
      <w:pPr>
        <w:ind w:hanging="360" w:left="3600"/>
        <w:tabs>
          <w:tab w:val="left" w:pos="3600" w:leader="none"/>
        </w:tabs>
      </w:pPr>
      <w:rPr>
        <w:rFonts w:ascii="Courier New" w:hAnsi="Courier New"/>
      </w:rPr>
    </w:lvl>
    <w:lvl w:ilvl="5" w:tplc="67352167">
      <w:start w:val="1"/>
      <w:numFmt w:val="bullet"/>
      <w:suff w:val="tab"/>
      <w:lvlText w:val=""/>
      <w:lvlJc w:val="left"/>
      <w:pPr>
        <w:ind w:hanging="360" w:left="4320"/>
        <w:tabs>
          <w:tab w:val="left" w:pos="4320" w:leader="none"/>
        </w:tabs>
      </w:pPr>
      <w:rPr>
        <w:rFonts w:ascii="Wingdings" w:hAnsi="Wingdings"/>
      </w:rPr>
    </w:lvl>
    <w:lvl w:ilvl="6" w:tplc="0C9CB37E">
      <w:start w:val="1"/>
      <w:numFmt w:val="bullet"/>
      <w:suff w:val="tab"/>
      <w:lvlText w:val=""/>
      <w:lvlJc w:val="left"/>
      <w:pPr>
        <w:ind w:hanging="360" w:left="5040"/>
        <w:tabs>
          <w:tab w:val="left" w:pos="5040" w:leader="none"/>
        </w:tabs>
      </w:pPr>
      <w:rPr>
        <w:rFonts w:ascii="Symbol" w:hAnsi="Symbol"/>
      </w:rPr>
    </w:lvl>
    <w:lvl w:ilvl="7" w:tplc="1ADC06C3">
      <w:start w:val="1"/>
      <w:numFmt w:val="bullet"/>
      <w:suff w:val="tab"/>
      <w:lvlText w:val="o"/>
      <w:lvlJc w:val="left"/>
      <w:pPr>
        <w:ind w:hanging="360" w:left="5760"/>
        <w:tabs>
          <w:tab w:val="left" w:pos="5760" w:leader="none"/>
        </w:tabs>
      </w:pPr>
      <w:rPr>
        <w:rFonts w:ascii="Courier New" w:hAnsi="Courier New"/>
      </w:rPr>
    </w:lvl>
    <w:lvl w:ilvl="8" w:tplc="785077C9">
      <w:start w:val="1"/>
      <w:numFmt w:val="bullet"/>
      <w:suff w:val="tab"/>
      <w:lvlText w:val=""/>
      <w:lvlJc w:val="left"/>
      <w:pPr>
        <w:ind w:hanging="360" w:left="6480"/>
        <w:tabs>
          <w:tab w:val="left" w:pos="6480" w:leader="none"/>
        </w:tabs>
      </w:pPr>
      <w:rPr>
        <w:rFonts w:ascii="Wingdings" w:hAnsi="Wingdings"/>
      </w:rPr>
    </w:lvl>
  </w:abstractNum>
  <w:abstractNum w:abstractNumId="14">
    <w:nsid w:val="4B7A4640"/>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5">
    <w:nsid w:val="4BF424EB"/>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6">
    <w:nsid w:val="4FC574AD"/>
    <w:multiLevelType w:val="multilevel"/>
    <w:lvl w:ilvl="0">
      <w:start w:val="2"/>
      <w:numFmt w:val="decimal"/>
      <w:suff w:val="tab"/>
      <w:lvlText w:val="%1)"/>
      <w:lvlJc w:val="left"/>
      <w:pPr>
        <w:ind w:hanging="360" w:left="360"/>
        <w:tabs>
          <w:tab w:val="left" w:pos="360" w:leader="none"/>
        </w:tabs>
      </w:pPr>
      <w:rPr>
        <w:b w:val="1"/>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518D535C"/>
    <w:multiLevelType w:val="multilevel"/>
    <w:lvl w:ilvl="0">
      <w:start w:val="1"/>
      <w:numFmt w:val="upperRoman"/>
      <w:suff w:val="tab"/>
      <w:lvlText w:val="%1)"/>
      <w:lvlJc w:val="left"/>
      <w:pPr>
        <w:ind w:hanging="720" w:left="1260"/>
        <w:tabs>
          <w:tab w:val="left" w:pos="126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18">
    <w:nsid w:val="55FA1243"/>
    <w:multiLevelType w:val="multilevel"/>
    <w:lvl w:ilvl="0">
      <w:start w:val="3"/>
      <w:numFmt w:val="lowerLetter"/>
      <w:suff w:val="tab"/>
      <w:lvlText w:val="%1)"/>
      <w:lvlJc w:val="left"/>
      <w:pPr>
        <w:ind w:hanging="360" w:left="720"/>
        <w:tabs>
          <w:tab w:val="left" w:pos="720" w:leader="none"/>
        </w:tabs>
      </w:pPr>
      <w:rPr>
        <w:b w:val="1"/>
      </w:rPr>
    </w:lvl>
    <w:lvl w:ilvl="1">
      <w:start w:val="1"/>
      <w:numFmt w:val="decimal"/>
      <w:suff w:val="tab"/>
      <w:lvlText w:val="%2)"/>
      <w:lvlJc w:val="left"/>
      <w:pPr>
        <w:ind w:hanging="360" w:left="1440"/>
        <w:tabs>
          <w:tab w:val="left" w:pos="1440" w:leader="none"/>
        </w:tabs>
      </w:pPr>
      <w:rPr>
        <w:b w:val="1"/>
      </w:rPr>
    </w:lvl>
    <w:lvl w:ilvl="2">
      <w:start w:val="1"/>
      <w:numFmt w:val="upperRoman"/>
      <w:suff w:val="tab"/>
      <w:lvlText w:val="%3)"/>
      <w:lvlJc w:val="left"/>
      <w:pPr>
        <w:ind w:hanging="720" w:left="2700"/>
        <w:tabs>
          <w:tab w:val="left" w:pos="270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5B3B4314"/>
    <w:multiLevelType w:val="multilevel"/>
    <w:lvl w:ilvl="0">
      <w:start w:val="7"/>
      <w:numFmt w:val="lowerLetter"/>
      <w:suff w:val="tab"/>
      <w:lvlText w:val="%1)"/>
      <w:lvlJc w:val="left"/>
      <w:pPr>
        <w:ind w:hanging="360" w:left="360"/>
        <w:tabs>
          <w:tab w:val="left" w:pos="360" w:leader="none"/>
        </w:tabs>
      </w:pPr>
      <w:rPr>
        <w:b w:val="1"/>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60E04E5F"/>
    <w:multiLevelType w:val="multilevel"/>
    <w:lvl w:ilvl="0">
      <w:start w:val="5"/>
      <w:numFmt w:val="lowerLetter"/>
      <w:suff w:val="tab"/>
      <w:lvlText w:val="%1)"/>
      <w:lvlJc w:val="left"/>
      <w:pPr>
        <w:ind w:hanging="360" w:left="360"/>
        <w:tabs>
          <w:tab w:val="left" w:pos="360" w:leader="none"/>
        </w:tabs>
      </w:pPr>
      <w:rPr>
        <w:b w:val="1"/>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64612ACD"/>
    <w:multiLevelType w:val="multilevel"/>
    <w:lvl w:ilvl="0">
      <w:start w:val="1"/>
      <w:numFmt w:val="upperRoman"/>
      <w:suff w:val="tab"/>
      <w:lvlText w:val="%1)"/>
      <w:lvlJc w:val="left"/>
      <w:pPr>
        <w:ind w:hanging="720" w:left="1260"/>
        <w:tabs>
          <w:tab w:val="left" w:pos="126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22">
    <w:nsid w:val="646825A1"/>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791F5FDA"/>
    <w:multiLevelType w:val="multilevel"/>
    <w:lvl w:ilvl="0">
      <w:start w:val="1"/>
      <w:numFmt w:val="upperRoman"/>
      <w:suff w:val="tab"/>
      <w:lvlText w:val="%1-"/>
      <w:lvlJc w:val="left"/>
      <w:pPr>
        <w:ind w:hanging="720" w:left="1260"/>
        <w:tabs>
          <w:tab w:val="left" w:pos="126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num w:numId="1">
    <w:abstractNumId w:val="15"/>
  </w:num>
  <w:num w:numId="2">
    <w:abstractNumId w:val="6"/>
  </w:num>
  <w:num w:numId="3">
    <w:abstractNumId w:val="1"/>
  </w:num>
  <w:num w:numId="4">
    <w:abstractNumId w:val="22"/>
  </w:num>
  <w:num w:numId="5">
    <w:abstractNumId w:val="7"/>
  </w:num>
  <w:num w:numId="6">
    <w:abstractNumId w:val="18"/>
  </w:num>
  <w:num w:numId="7">
    <w:abstractNumId w:val="12"/>
  </w:num>
  <w:num w:numId="8">
    <w:abstractNumId w:val="9"/>
  </w:num>
  <w:num w:numId="9">
    <w:abstractNumId w:val="23"/>
  </w:num>
  <w:num w:numId="10">
    <w:abstractNumId w:val="14"/>
  </w:num>
  <w:num w:numId="11">
    <w:abstractNumId w:val="13"/>
  </w:num>
  <w:num w:numId="12">
    <w:abstractNumId w:val="8"/>
  </w:num>
  <w:num w:numId="13">
    <w:abstractNumId w:val="2"/>
  </w:num>
  <w:num w:numId="14">
    <w:abstractNumId w:val="4"/>
  </w:num>
  <w:num w:numId="15">
    <w:abstractNumId w:val="5"/>
  </w:num>
  <w:num w:numId="16">
    <w:abstractNumId w:val="0"/>
  </w:num>
  <w:num w:numId="17">
    <w:abstractNumId w:val="3"/>
  </w:num>
  <w:num w:numId="18">
    <w:abstractNumId w:val="17"/>
  </w:num>
  <w:num w:numId="19">
    <w:abstractNumId w:val="21"/>
  </w:num>
  <w:num w:numId="20">
    <w:abstractNumId w:val="20"/>
  </w:num>
  <w:num w:numId="21">
    <w:abstractNumId w:val="10"/>
  </w:num>
  <w:num w:numId="22">
    <w:abstractNumId w:val="19"/>
  </w:num>
  <w:num w:numId="23">
    <w:abstractNumId w:val="11"/>
  </w:num>
  <w:num w:numId="24">
    <w:abstractNumId w:val="1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basedOn w:val="P0"/>
    <w:next w:val="P0"/>
    <w:qFormat/>
    <w:pPr>
      <w:keepNext w:val="1"/>
      <w:spacing w:before="240" w:after="60"/>
      <w:outlineLvl w:val="0"/>
    </w:pPr>
    <w:rPr>
      <w:rFonts w:ascii="Arial" w:hAnsi="Arial"/>
      <w:b w:val="1"/>
      <w:sz w:val="28"/>
    </w:rPr>
  </w:style>
  <w:style w:type="paragraph" w:styleId="P2">
    <w:name w:val="Título 2"/>
    <w:basedOn w:val="P0"/>
    <w:next w:val="P0"/>
    <w:qFormat/>
    <w:pPr>
      <w:keepNext w:val="1"/>
      <w:jc w:val="center"/>
      <w:outlineLvl w:val="1"/>
    </w:pPr>
    <w:rPr>
      <w:b w:val="1"/>
      <w:sz w:val="28"/>
    </w:rPr>
  </w:style>
  <w:style w:type="paragraph" w:styleId="P3">
    <w:name w:val="Título 3"/>
    <w:basedOn w:val="P0"/>
    <w:next w:val="P0"/>
    <w:qFormat/>
    <w:pPr>
      <w:keepNext w:val="1"/>
      <w:jc w:val="center"/>
      <w:outlineLvl w:val="2"/>
    </w:pPr>
    <w:rPr>
      <w:rFonts w:ascii="Courier New" w:hAnsi="Courier New"/>
      <w:b w:val="1"/>
    </w:rPr>
  </w:style>
  <w:style w:type="paragraph" w:styleId="P4">
    <w:name w:val="Título"/>
    <w:basedOn w:val="P0"/>
    <w:next w:val="P4"/>
    <w:qFormat/>
    <w:pPr>
      <w:spacing w:lineRule="auto" w:line="360"/>
      <w:jc w:val="center"/>
    </w:pPr>
    <w:rPr>
      <w:b w:val="1"/>
    </w:rPr>
  </w:style>
  <w:style w:type="paragraph" w:styleId="P5">
    <w:name w:val="Texto independiente"/>
    <w:basedOn w:val="P0"/>
    <w:next w:val="P5"/>
    <w:pPr>
      <w:jc w:val="both"/>
    </w:pPr>
    <w:rPr>
      <w:rFonts w:ascii="Courier New" w:hAnsi="Courier New"/>
      <w:b w:val="1"/>
    </w:rPr>
  </w:style>
  <w:style w:type="paragraph" w:styleId="P6">
    <w:name w:val="Texto independiente 2"/>
    <w:basedOn w:val="P0"/>
    <w:next w:val="P6"/>
    <w:pPr>
      <w:jc w:val="both"/>
    </w:pPr>
    <w:rPr>
      <w:rFonts w:ascii="Courier New" w:hAnsi="Courier New"/>
    </w:rPr>
  </w:style>
  <w:style w:type="paragraph" w:styleId="P7">
    <w:name w:val="Sangría de texto normal"/>
    <w:basedOn w:val="P0"/>
    <w:next w:val="P7"/>
    <w:pPr>
      <w:ind w:left="720"/>
      <w:jc w:val="both"/>
    </w:pPr>
    <w:rPr>
      <w:rFonts w:ascii="Courier New" w:hAnsi="Courier New"/>
    </w:rPr>
  </w:style>
  <w:style w:type="paragraph" w:styleId="P8">
    <w:name w:val="Sangría 2 de t. independiente"/>
    <w:basedOn w:val="P0"/>
    <w:next w:val="P8"/>
    <w:pPr>
      <w:tabs>
        <w:tab w:val="left" w:pos="1800" w:leader="none"/>
      </w:tabs>
      <w:ind w:left="1260"/>
      <w:jc w:val="both"/>
    </w:pPr>
    <w:rPr>
      <w:rFonts w:ascii="Courier New" w:hAnsi="Courier New"/>
    </w:rPr>
  </w:style>
  <w:style w:type="paragraph" w:styleId="P9">
    <w:name w:val="Texto nota pie"/>
    <w:basedOn w:val="P0"/>
    <w:next w:val="P9"/>
    <w:link w:val="C4"/>
    <w:pPr/>
    <w:rPr>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nota pie Car"/>
    <w:link w:val="P9"/>
    <w:rPr>
      <w:sz w:val="20"/>
    </w:rPr>
  </w:style>
  <w:style w:type="character" w:styleId="C5">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H.C.D</dc:creator>
  <dcterms:created xsi:type="dcterms:W3CDTF">2004-11-26T11:29:00Z</dcterms:created>
  <cp:lastModifiedBy>Ethan Puglia</cp:lastModifiedBy>
  <cp:lastPrinted>2004-11-26T12:37:00Z</cp:lastPrinted>
  <dcterms:modified xsi:type="dcterms:W3CDTF">2019-03-28T17:34:04Z</dcterms:modified>
  <cp:revision>14</cp:revision>
  <dc:title> Artículo 1º: A los efectos de determinar los alcances y extensión de los beneficios establecidos en esta Ordenanza, institúya</dc:title>
</cp:coreProperties>
</file>