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7D9029" Type="http://schemas.openxmlformats.org/officeDocument/2006/relationships/officeDocument" Target="/word/document.xml" /><Relationship Id="coreR77D9029"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p>
    <w:p>
      <w:pPr>
        <w:pStyle w:val="P1"/>
        <w:jc w:val="center"/>
        <w:rPr>
          <w:rStyle w:val="C3"/>
          <w:b w:val="1"/>
          <w:sz w:val="24"/>
          <w:u w:val="single"/>
        </w:rPr>
      </w:pPr>
    </w:p>
    <w:p>
      <w:pPr>
        <w:pStyle w:val="P1"/>
        <w:jc w:val="center"/>
        <w:rPr>
          <w:rStyle w:val="C3"/>
          <w:b w:val="1"/>
          <w:sz w:val="24"/>
          <w:u w:val="single"/>
        </w:rPr>
      </w:pPr>
    </w:p>
    <w:p>
      <w:pPr>
        <w:pStyle w:val="P1"/>
        <w:jc w:val="center"/>
        <w:rPr>
          <w:rStyle w:val="C3"/>
          <w:sz w:val="24"/>
        </w:rPr>
      </w:pPr>
      <w:r>
        <w:rPr>
          <w:rStyle w:val="C3"/>
          <w:b w:val="1"/>
          <w:sz w:val="24"/>
          <w:u w:val="single"/>
        </w:rPr>
        <w:t xml:space="preserve">ORDENANZA  Nº 7170</w:t>
      </w:r>
    </w:p>
    <w:p>
      <w:pPr>
        <w:pStyle w:val="P1"/>
        <w:jc w:val="both"/>
        <w:rPr>
          <w:rStyle w:val="C3"/>
          <w:sz w:val="24"/>
        </w:rPr>
      </w:pPr>
    </w:p>
    <w:p>
      <w:pPr>
        <w:pStyle w:val="P1"/>
        <w:ind w:hanging="709" w:left="709"/>
        <w:jc w:val="both"/>
        <w:rPr>
          <w:rStyle w:val="C3"/>
          <w:sz w:val="24"/>
        </w:rPr>
      </w:pPr>
    </w:p>
    <w:p>
      <w:pPr>
        <w:pStyle w:val="P1"/>
        <w:jc w:val="both"/>
        <w:rPr>
          <w:rStyle w:val="C3"/>
          <w:sz w:val="24"/>
        </w:rPr>
      </w:pPr>
    </w:p>
    <w:p>
      <w:pPr>
        <w:pStyle w:val="P1"/>
        <w:ind w:hanging="709" w:left="709"/>
        <w:jc w:val="both"/>
        <w:rPr>
          <w:rStyle w:val="C3"/>
          <w:sz w:val="24"/>
        </w:rPr>
      </w:pPr>
      <w:r>
        <w:rPr>
          <w:rStyle w:val="C3"/>
          <w:sz w:val="24"/>
        </w:rPr>
        <w:t xml:space="preserve">Visto: La Ordenanza Nº 3350, y sus modificaciones; y </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left="2832"/>
        <w:rPr>
          <w:rStyle w:val="C3"/>
          <w:b w:val="1"/>
          <w:sz w:val="24"/>
        </w:rPr>
      </w:pPr>
      <w:r>
        <w:rPr>
          <w:rStyle w:val="C3"/>
          <w:b w:val="1"/>
          <w:sz w:val="24"/>
        </w:rPr>
        <w:t xml:space="preserve">   C O N S I D E R A N D O</w:t>
      </w:r>
    </w:p>
    <w:p>
      <w:pPr>
        <w:pStyle w:val="P2"/>
        <w:ind w:left="0"/>
        <w:rPr>
          <w:rStyle w:val="C3"/>
          <w:rFonts w:ascii="Courier New" w:hAnsi="Courier New"/>
        </w:rPr>
      </w:pPr>
    </w:p>
    <w:p>
      <w:pPr>
        <w:pStyle w:val="P2"/>
        <w:ind w:left="0"/>
        <w:rPr>
          <w:rStyle w:val="C3"/>
          <w:rFonts w:ascii="Courier New" w:hAnsi="Courier New"/>
        </w:rPr>
      </w:pPr>
    </w:p>
    <w:p>
      <w:pPr>
        <w:pStyle w:val="P2"/>
        <w:ind w:left="0"/>
        <w:rPr>
          <w:rStyle w:val="C3"/>
          <w:rFonts w:ascii="Courier New" w:hAnsi="Courier New"/>
        </w:rPr>
      </w:pPr>
      <w:r>
        <w:rPr>
          <w:rStyle w:val="C3"/>
          <w:rFonts w:ascii="Courier New" w:hAnsi="Courier New"/>
        </w:rPr>
        <w:tab/>
      </w:r>
    </w:p>
    <w:p>
      <w:pPr>
        <w:pStyle w:val="P2"/>
        <w:ind w:left="708"/>
        <w:rPr>
          <w:rStyle w:val="C3"/>
          <w:rFonts w:ascii="Courier New" w:hAnsi="Courier New"/>
        </w:rPr>
      </w:pPr>
      <w:r>
        <w:rPr>
          <w:rStyle w:val="C3"/>
          <w:rFonts w:ascii="Courier New" w:hAnsi="Courier New"/>
        </w:rPr>
        <w:t xml:space="preserve">Que las mismas se refieren al servicio público de remis y lo atinente a las exigencias con respecto a la antigüedad que deben tener los vehículos para la prestación del mencionado dentro del Servicio Público de Transporte de Pasajeros; </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 xml:space="preserve">Que en la coyuntura, dichas exigencias para los prestatarios del servicio resulta de difícil cumplimiento, debido a la situación económica y social por la cual atraviesa el pueblo argentino en su conjunto, no escapando a ello nuestra ciudad; </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 xml:space="preserve">Que la Autoridad de Aplicación considera que estar dentro de la normativa legal en cuanto a la antigüedad de los vehículos no implica que los mismos estén en condiciones de higiene y seguridad para los usuarios; </w:t>
      </w:r>
    </w:p>
    <w:p>
      <w:pPr>
        <w:pStyle w:val="P2"/>
        <w:ind w:hanging="1"/>
        <w:rPr>
          <w:rStyle w:val="C3"/>
          <w:rFonts w:ascii="Courier New" w:hAnsi="Courier New"/>
        </w:rPr>
      </w:pPr>
    </w:p>
    <w:p>
      <w:pPr>
        <w:pStyle w:val="P2"/>
        <w:ind w:left="708"/>
        <w:rPr>
          <w:rStyle w:val="C3"/>
          <w:rFonts w:ascii="Courier New" w:hAnsi="Courier New"/>
        </w:rPr>
      </w:pPr>
      <w:r>
        <w:rPr>
          <w:rStyle w:val="C3"/>
          <w:rFonts w:ascii="Courier New" w:hAnsi="Courier New"/>
        </w:rPr>
        <w:t>Que evaluado el Proyecto de Ordenanza en Sesión Extraordinaria de fecha 22 de febrero de 2005, se emite despacho favorable aprobado por unanimidad.</w:t>
      </w:r>
    </w:p>
    <w:p>
      <w:pPr>
        <w:pStyle w:val="P2"/>
        <w:ind w:hanging="1"/>
        <w:rPr>
          <w:rStyle w:val="C3"/>
          <w:rFonts w:ascii="Courier New" w:hAnsi="Courier New"/>
        </w:rPr>
      </w:pPr>
    </w:p>
    <w:p>
      <w:pPr>
        <w:pStyle w:val="P2"/>
        <w:ind w:hanging="1"/>
        <w:rPr>
          <w:rStyle w:val="C3"/>
          <w:rFonts w:ascii="Courier New" w:hAnsi="Courier New"/>
        </w:rPr>
      </w:pPr>
    </w:p>
    <w:p>
      <w:pPr>
        <w:pStyle w:val="P1"/>
        <w:ind w:firstLine="708" w:left="708"/>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rPr>
          <w:rStyle w:val="C3"/>
          <w:b w:val="1"/>
          <w:sz w:val="24"/>
        </w:rPr>
      </w:pPr>
      <w:r>
        <w:rPr>
          <w:rStyle w:val="C3"/>
          <w:b w:val="1"/>
          <w:sz w:val="24"/>
        </w:rPr>
        <w:t xml:space="preserve">  </w:t>
        <w:tab/>
        <w:tab/>
        <w:t xml:space="preserve">  ALTA GRACIA SANCIONA CON FUERZA DE ORDENANZA</w:t>
      </w: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Art.1</w:t>
      </w:r>
      <w:r>
        <w:rPr>
          <w:rStyle w:val="C3"/>
          <w:b w:val="1"/>
          <w:sz w:val="24"/>
        </w:rPr>
        <w:t>:</w:t>
      </w:r>
      <w:r>
        <w:rPr>
          <w:rStyle w:val="C3"/>
          <w:sz w:val="24"/>
        </w:rPr>
        <w:t xml:space="preserve"> </w:t>
      </w:r>
      <w:r>
        <w:rPr>
          <w:rStyle w:val="C3"/>
          <w:b w:val="1"/>
          <w:sz w:val="24"/>
        </w:rPr>
        <w:t>DÉ</w:t>
      </w:r>
      <w:r>
        <w:rPr>
          <w:rStyle w:val="C3"/>
          <w:b w:val="1"/>
          <w:sz w:val="24"/>
        </w:rPr>
        <w:t>JENSE</w:t>
      </w:r>
      <w:r>
        <w:rPr>
          <w:rStyle w:val="C3"/>
          <w:b w:val="1"/>
          <w:sz w:val="24"/>
        </w:rPr>
        <w:t xml:space="preserve"> </w:t>
      </w:r>
      <w:r>
        <w:rPr>
          <w:rStyle w:val="C3"/>
          <w:sz w:val="24"/>
        </w:rPr>
        <w:t xml:space="preserve">sin efecto las exigencias de antigüedad para todos los vehículos afectados al Servicio Público de Transporte de Pasajeros (Ordenanza Nº3350, Art. 28, inc. a) por el término de un (1) año, a partir de la vigencia de la presente. </w:t>
      </w:r>
    </w:p>
    <w:p>
      <w:pPr>
        <w:pStyle w:val="P1"/>
        <w:ind w:hanging="709" w:left="709"/>
        <w:jc w:val="right"/>
        <w:rPr>
          <w:rStyle w:val="C3"/>
          <w:sz w:val="24"/>
        </w:rPr>
      </w:pPr>
      <w:r>
        <w:rPr>
          <w:rStyle w:val="C3"/>
          <w:sz w:val="24"/>
        </w:rPr>
        <w:t>...///</w:t>
      </w:r>
    </w:p>
    <w:p>
      <w:pPr>
        <w:pStyle w:val="P1"/>
        <w:ind w:hanging="709" w:left="709"/>
        <w:jc w:val="right"/>
        <w:rPr>
          <w:rStyle w:val="C3"/>
          <w:sz w:val="24"/>
        </w:rPr>
      </w:pPr>
    </w:p>
    <w:p>
      <w:pPr>
        <w:pStyle w:val="P1"/>
        <w:ind w:hanging="709" w:left="709"/>
        <w:jc w:val="right"/>
        <w:rPr>
          <w:rStyle w:val="C3"/>
          <w:sz w:val="24"/>
        </w:rPr>
      </w:pPr>
    </w:p>
    <w:p>
      <w:pPr>
        <w:pStyle w:val="P1"/>
        <w:ind w:hanging="709" w:left="709"/>
        <w:jc w:val="right"/>
        <w:rPr>
          <w:rStyle w:val="C3"/>
          <w:sz w:val="24"/>
        </w:rPr>
      </w:pPr>
    </w:p>
    <w:p>
      <w:pPr>
        <w:pStyle w:val="P1"/>
        <w:ind w:hanging="709" w:left="709"/>
        <w:rPr>
          <w:rStyle w:val="C3"/>
          <w:sz w:val="24"/>
        </w:rPr>
      </w:pPr>
      <w:r>
        <w:rPr>
          <w:rStyle w:val="C3"/>
          <w:sz w:val="24"/>
        </w:rPr>
        <w:t>...///2.-</w:t>
      </w:r>
    </w:p>
    <w:p>
      <w:pPr>
        <w:pStyle w:val="P1"/>
        <w:ind w:hanging="709" w:left="709"/>
        <w:rPr>
          <w:rStyle w:val="C3"/>
          <w:sz w:val="24"/>
        </w:rPr>
      </w:pP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Art.2</w:t>
      </w:r>
      <w:r>
        <w:rPr>
          <w:rStyle w:val="C3"/>
          <w:b w:val="1"/>
          <w:sz w:val="24"/>
        </w:rPr>
        <w:t>:</w:t>
      </w:r>
      <w:r>
        <w:rPr>
          <w:rStyle w:val="C3"/>
          <w:sz w:val="24"/>
        </w:rPr>
        <w:t xml:space="preserve"> </w:t>
      </w:r>
      <w:r>
        <w:rPr>
          <w:rStyle w:val="C3"/>
          <w:b w:val="1"/>
          <w:sz w:val="24"/>
        </w:rPr>
        <w:t>EXCEPT</w:t>
      </w:r>
      <w:r>
        <w:rPr>
          <w:rStyle w:val="C3"/>
          <w:b w:val="1"/>
          <w:sz w:val="24"/>
        </w:rPr>
        <w:t>Ú</w:t>
      </w:r>
      <w:r>
        <w:rPr>
          <w:rStyle w:val="C3"/>
          <w:b w:val="1"/>
          <w:sz w:val="24"/>
        </w:rPr>
        <w:t>E</w:t>
      </w:r>
      <w:r>
        <w:rPr>
          <w:rStyle w:val="C3"/>
          <w:b w:val="1"/>
          <w:sz w:val="24"/>
        </w:rPr>
        <w:t>N</w:t>
      </w:r>
      <w:r>
        <w:rPr>
          <w:rStyle w:val="C3"/>
          <w:b w:val="1"/>
          <w:sz w:val="24"/>
        </w:rPr>
        <w:t>SE</w:t>
      </w:r>
      <w:r>
        <w:rPr>
          <w:rStyle w:val="C3"/>
          <w:sz w:val="24"/>
        </w:rPr>
        <w:t xml:space="preserve"> todos aquellos vehículos afectados a la prestación del servicio indicado en el Art. 1º de la presente Ordenanza que superen los diez (10) años de antigüedad, los que en un plazo de tres (3) meses, a partir de la vigencia de la presente, deberán actualizar el mismo. </w:t>
      </w: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Art.3</w:t>
      </w:r>
      <w:r>
        <w:rPr>
          <w:rStyle w:val="C3"/>
          <w:b w:val="1"/>
          <w:sz w:val="24"/>
        </w:rPr>
        <w:t xml:space="preserve">: </w:t>
      </w:r>
      <w:r>
        <w:rPr>
          <w:rStyle w:val="C3"/>
          <w:b w:val="1"/>
          <w:sz w:val="24"/>
        </w:rPr>
        <w:t>APL</w:t>
      </w:r>
      <w:r>
        <w:rPr>
          <w:rStyle w:val="C3"/>
          <w:b w:val="1"/>
          <w:sz w:val="24"/>
        </w:rPr>
        <w:t>ÍQUESE</w:t>
      </w:r>
      <w:r>
        <w:rPr>
          <w:rStyle w:val="C3"/>
          <w:b w:val="1"/>
          <w:sz w:val="24"/>
        </w:rPr>
        <w:t xml:space="preserve"> </w:t>
      </w:r>
      <w:r>
        <w:rPr>
          <w:rStyle w:val="C3"/>
          <w:sz w:val="24"/>
        </w:rPr>
        <w:t xml:space="preserve">esta medida a todos los prestatarios habilitados por la Ordenanza Nº 3350 y modificatorias, al 30 de enero de 2005, en el Servicio Público de Transporte de Pasajeros de la ciudad de Alta Gracia. </w:t>
      </w: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Art.4</w:t>
      </w:r>
      <w:r>
        <w:rPr>
          <w:rStyle w:val="C3"/>
          <w:b w:val="1"/>
          <w:sz w:val="24"/>
        </w:rPr>
        <w:t xml:space="preserve">: </w:t>
      </w:r>
      <w:r>
        <w:rPr>
          <w:rStyle w:val="C3"/>
          <w:b w:val="1"/>
          <w:sz w:val="24"/>
        </w:rPr>
        <w:t>EX</w:t>
      </w:r>
      <w:r>
        <w:rPr>
          <w:rStyle w:val="C3"/>
          <w:b w:val="1"/>
          <w:sz w:val="24"/>
        </w:rPr>
        <w:t>ÍJASE</w:t>
      </w:r>
      <w:r>
        <w:rPr>
          <w:rStyle w:val="C3"/>
          <w:b w:val="1"/>
          <w:sz w:val="24"/>
        </w:rPr>
        <w:t xml:space="preserve"> </w:t>
      </w:r>
      <w:r>
        <w:rPr>
          <w:rStyle w:val="C3"/>
          <w:sz w:val="24"/>
        </w:rPr>
        <w:t xml:space="preserve">como única condición excluyente para acceder a este beneficio tener realizada en los vehículos la Inspección Técnica Vehicular (I.T.V.) y presentada ante la Autoridad de aplicación antes del 30 de marzo de 2005. </w:t>
      </w: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Art.5</w:t>
      </w:r>
      <w:r>
        <w:rPr>
          <w:rStyle w:val="C3"/>
          <w:b w:val="1"/>
          <w:sz w:val="24"/>
        </w:rPr>
        <w:t xml:space="preserve">: </w:t>
      </w:r>
      <w:r>
        <w:rPr>
          <w:rStyle w:val="C3"/>
          <w:b w:val="1"/>
          <w:sz w:val="24"/>
        </w:rPr>
        <w:t>LA</w:t>
      </w:r>
      <w:r>
        <w:rPr>
          <w:rStyle w:val="C3"/>
          <w:b w:val="1"/>
          <w:sz w:val="24"/>
        </w:rPr>
        <w:t xml:space="preserve"> </w:t>
      </w:r>
      <w:r>
        <w:rPr>
          <w:rStyle w:val="C3"/>
          <w:sz w:val="24"/>
        </w:rPr>
        <w:t>presente Ordenanza entrará en vigencia en la fecha que se dicte su Decreto promulgatorio, en un todo de conformidad a lo establecido en el Artículo 24 de la Carta Orgánica Municipal.</w:t>
      </w: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Art.6</w:t>
      </w:r>
      <w:r>
        <w:rPr>
          <w:rStyle w:val="C3"/>
          <w:sz w:val="24"/>
        </w:rPr>
        <w:t xml:space="preserve">: </w:t>
      </w:r>
      <w:r>
        <w:rPr>
          <w:rStyle w:val="C3"/>
          <w:b w:val="1"/>
          <w:sz w:val="24"/>
        </w:rPr>
        <w:t>PROTOCOLÍCESE,</w:t>
      </w:r>
      <w:r>
        <w:rPr>
          <w:rStyle w:val="C3"/>
          <w:sz w:val="24"/>
        </w:rPr>
        <w:t xml:space="preserve"> comuníquese, publíquese en el Boletín Oficial de la ciudad de Alta Gracia, incorpórese al Libro de Ordenanzas y archívese.</w:t>
      </w:r>
    </w:p>
    <w:p>
      <w:pPr>
        <w:pStyle w:val="P1"/>
        <w:jc w:val="both"/>
        <w:rPr>
          <w:rStyle w:val="C3"/>
          <w:sz w:val="24"/>
        </w:rPr>
      </w:pPr>
    </w:p>
    <w:p>
      <w:pPr>
        <w:pStyle w:val="P1"/>
        <w:jc w:val="both"/>
        <w:rPr>
          <w:rStyle w:val="C3"/>
          <w:sz w:val="24"/>
        </w:rPr>
      </w:pPr>
    </w:p>
    <w:p>
      <w:pPr>
        <w:pStyle w:val="P1"/>
        <w:jc w:val="both"/>
        <w:rPr>
          <w:rStyle w:val="C3"/>
          <w:b w:val="1"/>
          <w:sz w:val="24"/>
        </w:rPr>
      </w:pPr>
    </w:p>
    <w:p>
      <w:pPr>
        <w:pStyle w:val="P1"/>
        <w:jc w:val="both"/>
        <w:rPr>
          <w:rStyle w:val="C3"/>
          <w:b w:val="1"/>
          <w:sz w:val="52"/>
        </w:rPr>
      </w:pPr>
      <w:r>
        <w:rPr>
          <w:rStyle w:val="C3"/>
          <w:b w:val="1"/>
          <w:sz w:val="24"/>
        </w:rPr>
        <w:t>DADA EN LA SALA DE SESIONES DEL HONORABLE CONCEJO DELIBERANTE A LOS VEINTIDOS DÍAS DEL MES DE FEBRERO DEL AÑO DOS MIL CINCO.</w:t>
      </w:r>
    </w:p>
    <w:sectPr>
      <w:type w:val="nextPage"/>
      <w:pgSz w:w="11907" w:h="16840" w:code="0"/>
      <w:pgMar w:left="1701" w:right="1418"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paragraph" w:styleId="P2">
    <w:name w:val="Sangría 2 de t. independiente"/>
    <w:basedOn w:val="P0"/>
    <w:next w:val="P2"/>
    <w:pPr>
      <w:ind w:left="709"/>
      <w:jc w:val="both"/>
    </w:pPr>
    <w:rPr>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2005-02-24T18:22:00Z</dcterms:created>
  <cp:lastModifiedBy>Ethan Puglia</cp:lastModifiedBy>
  <cp:lastPrinted>2005-02-28T13:55:00Z</cp:lastPrinted>
  <dcterms:modified xsi:type="dcterms:W3CDTF">2019-03-28T17:34:04Z</dcterms:modified>
  <cp:revision>6</cp:revision>
  <dc:title>1¾   «        M</dc:title>
</cp:coreProperties>
</file>