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859B57" Type="http://schemas.openxmlformats.org/officeDocument/2006/relationships/officeDocument" Target="/word/document.xml" /><Relationship Id="coreR43859B5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</w:t>
      </w:r>
      <w:r>
        <w:rPr>
          <w:rStyle w:val="C3"/>
          <w:b w:val="1"/>
          <w:sz w:val="24"/>
          <w:u w:val="single"/>
        </w:rPr>
        <w:t xml:space="preserve"> </w:t>
      </w:r>
      <w:r>
        <w:rPr>
          <w:rStyle w:val="C3"/>
          <w:b w:val="1"/>
          <w:sz w:val="24"/>
          <w:u w:val="single"/>
        </w:rPr>
        <w:t>7</w:t>
      </w:r>
      <w:r>
        <w:rPr>
          <w:rStyle w:val="C3"/>
          <w:b w:val="1"/>
          <w:sz w:val="24"/>
          <w:u w:val="single"/>
        </w:rPr>
        <w:t>175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Los Expedientes Nº 639/02 y 1908/04 donde se solicita exención de Tasa por Servicios de Administración y Mantenimiento de los Cementerios; y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Que se trata de solicitudes de exenciones para diferentes vecinos de nuestra ciudad;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respectivos estudios socioeconómicos informan que se trata de familias que atraviesan difíciles situaciones que determinan la imposibilidad de hacer frente a muchas necesidades básicas;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presentan importantes problemas de salud con tratamiento permanente y gastos en medicamentos que les impide afrontar la deuda contraída;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 cada uno de los Expedientes mencionados por Comisión de Hacienda, la misma emite despacho accediendo a lo solicitado en el marco de las Ordenanzas vigentes, despacho aprobado por unanimidad en Sesión Ordinaria de fecha 10 de marzo de 2005.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1" w:left="708"/>
        <w:rPr>
          <w:rStyle w:val="C3"/>
          <w:sz w:val="24"/>
        </w:rPr>
      </w:pPr>
      <w:r>
        <w:rPr>
          <w:rStyle w:val="C3"/>
          <w:sz w:val="24"/>
        </w:rPr>
        <w:t xml:space="preserve"> </w:t>
      </w:r>
    </w:p>
    <w:p>
      <w:pPr>
        <w:pStyle w:val="P1"/>
        <w:ind w:firstLine="1" w:left="708"/>
        <w:rPr>
          <w:rStyle w:val="C3"/>
          <w:b w:val="1"/>
          <w:sz w:val="24"/>
        </w:rPr>
      </w:pPr>
      <w:r>
        <w:rPr>
          <w:rStyle w:val="C3"/>
          <w:sz w:val="24"/>
        </w:rPr>
        <w:t xml:space="preserve">   </w:t>
      </w: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EXÍM</w:t>
      </w:r>
      <w:r>
        <w:rPr>
          <w:rStyle w:val="C3"/>
          <w:b w:val="1"/>
          <w:sz w:val="24"/>
        </w:rPr>
        <w:t>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 los titulares de las siguientes identificaciones, en los porcentajes abajo detallados, de la deuda que en concepto de Tasa por Servicios de Administración y Mantenimiento de los Cementerios mantienen con el Municipio respecto de las identificaciones correspondientes: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tbl>
      <w:tblPr>
        <w:tblStyle w:val="T2"/>
        <w:tblW w:w="9505" w:type="dxa"/>
        <w:tblInd w:w="70" w:type="dxa"/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/>
      <w:tr>
        <w:trPr>
          <w:wAfter w:w="0" w:type="dxa"/>
        </w:trPr>
        <w:tc>
          <w:tcPr>
            <w:tcW w:w="1701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1985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Identificación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1559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% Exención</w:t>
            </w:r>
          </w:p>
        </w:tc>
        <w:tc>
          <w:tcPr>
            <w:tcW w:w="1005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Desde</w:t>
            </w:r>
          </w:p>
        </w:tc>
        <w:tc>
          <w:tcPr>
            <w:tcW w:w="1979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rPr>
          <w:wAfter w:w="0" w:type="dxa"/>
        </w:trPr>
        <w:tc>
          <w:tcPr>
            <w:tcW w:w="170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Zamora, Julia Eulalia</w:t>
            </w:r>
          </w:p>
        </w:tc>
        <w:tc>
          <w:tcPr>
            <w:tcW w:w="1985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1749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639/02</w:t>
            </w:r>
          </w:p>
        </w:tc>
        <w:tc>
          <w:tcPr>
            <w:tcW w:w="1559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50</w:t>
            </w:r>
          </w:p>
        </w:tc>
        <w:tc>
          <w:tcPr>
            <w:tcW w:w="1005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-</w:t>
            </w:r>
          </w:p>
        </w:tc>
        <w:tc>
          <w:tcPr>
            <w:tcW w:w="1979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 xml:space="preserve">Promulgación </w:t>
            </w:r>
          </w:p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de la</w:t>
            </w:r>
          </w:p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presente</w:t>
            </w:r>
          </w:p>
        </w:tc>
      </w:tr>
      <w:tr>
        <w:trPr>
          <w:wAfter w:w="0" w:type="dxa"/>
        </w:trPr>
        <w:tc>
          <w:tcPr>
            <w:tcW w:w="170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Novailhac, Eduardo Abel</w:t>
            </w:r>
          </w:p>
        </w:tc>
        <w:tc>
          <w:tcPr>
            <w:tcW w:w="1985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6108</w:t>
            </w:r>
          </w:p>
        </w:tc>
        <w:tc>
          <w:tcPr>
            <w:tcW w:w="1276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1908/04</w:t>
            </w:r>
          </w:p>
        </w:tc>
        <w:tc>
          <w:tcPr>
            <w:tcW w:w="1559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100</w:t>
            </w:r>
          </w:p>
        </w:tc>
        <w:tc>
          <w:tcPr>
            <w:tcW w:w="1005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-</w:t>
            </w:r>
          </w:p>
        </w:tc>
        <w:tc>
          <w:tcPr>
            <w:tcW w:w="1979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Diciembre 2004 inclusive</w:t>
            </w:r>
          </w:p>
        </w:tc>
      </w:tr>
    </w:tbl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EXÍM</w:t>
      </w:r>
      <w:r>
        <w:rPr>
          <w:rStyle w:val="C3"/>
          <w:b w:val="1"/>
          <w:sz w:val="24"/>
        </w:rPr>
        <w:t>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 los titulares de las siguientes identificaciones, en los porcentajes abajo detallados, de la deuda que en concepto de Tasa por Inhumación mantienen con el Municipio respecto de las identificaciones correspondientes: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tbl>
      <w:tblPr>
        <w:tblStyle w:val="T3"/>
        <w:tblW w:w="9481" w:type="dxa"/>
        <w:tblLayout w:type="autofit"/>
      </w:tblPr>
      <w:tblGrid/>
      <w:tr>
        <w:trPr>
          <w:wAfter w:w="0" w:type="dxa"/>
        </w:trPr>
        <w:tc>
          <w:tcPr>
            <w:tcW w:w="2351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Nº</w:t>
            </w:r>
          </w:p>
        </w:tc>
        <w:tc>
          <w:tcPr>
            <w:tcW w:w="546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Identifica-ción Nº</w:t>
            </w:r>
          </w:p>
        </w:tc>
        <w:tc>
          <w:tcPr>
            <w:tcW w:w="2351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Monto</w:t>
            </w:r>
          </w:p>
        </w:tc>
        <w:tc>
          <w:tcPr>
            <w:tcW w:w="2352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% Exención</w:t>
            </w:r>
          </w:p>
        </w:tc>
        <w:tc>
          <w:tcPr>
            <w:tcW w:w="1881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rPr>
          <w:wAfter w:w="0" w:type="dxa"/>
        </w:trPr>
        <w:tc>
          <w:tcPr>
            <w:tcW w:w="2351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sz w:val="24"/>
              </w:rPr>
              <w:t>1908/04</w:t>
            </w:r>
          </w:p>
        </w:tc>
        <w:tc>
          <w:tcPr>
            <w:tcW w:w="546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sz w:val="24"/>
              </w:rPr>
              <w:t>6108</w:t>
            </w:r>
          </w:p>
        </w:tc>
        <w:tc>
          <w:tcPr>
            <w:tcW w:w="2351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$90</w:t>
            </w:r>
          </w:p>
        </w:tc>
        <w:tc>
          <w:tcPr>
            <w:tcW w:w="2352" w:type="dxa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100</w:t>
            </w:r>
          </w:p>
        </w:tc>
        <w:tc>
          <w:tcPr>
            <w:tcW w:w="1881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-</w:t>
            </w:r>
          </w:p>
        </w:tc>
      </w:tr>
    </w:tbl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 REALÍ</w:t>
      </w:r>
      <w:r>
        <w:rPr>
          <w:rStyle w:val="C3"/>
          <w:b w:val="1"/>
          <w:sz w:val="24"/>
        </w:rPr>
        <w:t>ZAR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Plan de Pagos a Valores Históricos con el saldo de la deuda al titular de la siguiente identificación, con cuotas mensuales que no superen los montos que se detallan a continuación, que en concepto de Tasa por Servicios de Administración y Mantenimiento de los Cementerios mantiene la identificación correspondiente: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tbl>
      <w:tblPr>
        <w:tblStyle w:val="T2"/>
        <w:tblW w:w="0" w:type="auto"/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/>
      <w:tr>
        <w:trPr>
          <w:wAfter w:w="0" w:type="dxa"/>
        </w:trPr>
        <w:tc>
          <w:tcPr>
            <w:tcW w:w="1881" w:type="dxa"/>
          </w:tcPr>
          <w:p>
            <w:pPr>
              <w:pStyle w:val="P1"/>
              <w:jc w:val="both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Nº</w:t>
            </w:r>
          </w:p>
        </w:tc>
        <w:tc>
          <w:tcPr>
            <w:tcW w:w="1881" w:type="dxa"/>
          </w:tcPr>
          <w:p>
            <w:pPr>
              <w:pStyle w:val="P1"/>
              <w:jc w:val="both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Identifica-ción Nº</w:t>
            </w:r>
          </w:p>
        </w:tc>
        <w:tc>
          <w:tcPr>
            <w:tcW w:w="1881" w:type="dxa"/>
          </w:tcPr>
          <w:p>
            <w:pPr>
              <w:pStyle w:val="P1"/>
              <w:jc w:val="both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Cuota máxima</w:t>
            </w:r>
          </w:p>
        </w:tc>
        <w:tc>
          <w:tcPr>
            <w:tcW w:w="1881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Desde</w:t>
            </w:r>
          </w:p>
        </w:tc>
        <w:tc>
          <w:tcPr>
            <w:tcW w:w="1881" w:type="dxa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Hasta</w:t>
            </w:r>
          </w:p>
        </w:tc>
      </w:tr>
      <w:tr>
        <w:trPr>
          <w:wAfter w:w="0" w:type="dxa"/>
        </w:trPr>
        <w:tc>
          <w:tcPr>
            <w:tcW w:w="188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639/02</w:t>
            </w:r>
          </w:p>
        </w:tc>
        <w:tc>
          <w:tcPr>
            <w:tcW w:w="188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1749</w:t>
            </w:r>
          </w:p>
        </w:tc>
        <w:tc>
          <w:tcPr>
            <w:tcW w:w="188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De acuerdo a Ords. Vigentes</w:t>
            </w:r>
          </w:p>
        </w:tc>
        <w:tc>
          <w:tcPr>
            <w:tcW w:w="188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-</w:t>
            </w:r>
          </w:p>
        </w:tc>
        <w:tc>
          <w:tcPr>
            <w:tcW w:w="188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Sanción de la presente.</w:t>
            </w:r>
          </w:p>
        </w:tc>
      </w:tr>
    </w:tbl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Sr. Intendente que interceda ante los Procuradores actuantes a los fines de dejar sin efecto los honorarios y los juicios iniciados a los titulares de las siguientes identificaciones, respecto de los correspondientes años que se detallan a continuación de: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tbl>
      <w:tblPr>
        <w:tblStyle w:val="T2"/>
        <w:tblW w:w="0" w:type="auto"/>
        <w:tblBorders>
          <w:top w:val="single" w:sz="4" w:space="0" w:shadow="0" w:frame="0"/>
          <w:left w:val="single" w:sz="4" w:space="0" w:shadow="0" w:frame="0"/>
          <w:bottom w:val="single" w:sz="4" w:space="0" w:shadow="0" w:frame="0"/>
          <w:right w:val="single" w:sz="4" w:space="0" w:shadow="0" w:frame="0"/>
          <w:insideH w:val="single" w:sz="4" w:space="0" w:shadow="0" w:frame="0"/>
          <w:insideV w:val="single" w:sz="4" w:space="0" w:shadow="0" w:fram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/>
      <w:tr>
        <w:trPr>
          <w:wAfter w:w="0" w:type="dxa"/>
        </w:trPr>
        <w:tc>
          <w:tcPr>
            <w:tcW w:w="2351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Titular</w:t>
            </w:r>
          </w:p>
        </w:tc>
        <w:tc>
          <w:tcPr>
            <w:tcW w:w="2681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Identificaciones</w:t>
            </w:r>
          </w:p>
        </w:tc>
        <w:tc>
          <w:tcPr>
            <w:tcW w:w="2268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Expte. N°</w:t>
            </w:r>
          </w:p>
        </w:tc>
        <w:tc>
          <w:tcPr>
            <w:tcW w:w="2104" w:type="dxa"/>
            <w:vAlign w:val="center"/>
          </w:tcPr>
          <w:p>
            <w:pPr>
              <w:pStyle w:val="P1"/>
              <w:jc w:val="center"/>
              <w:rPr>
                <w:rStyle w:val="C3"/>
                <w:b w:val="1"/>
                <w:sz w:val="24"/>
              </w:rPr>
            </w:pPr>
            <w:r>
              <w:rPr>
                <w:rStyle w:val="C3"/>
                <w:b w:val="1"/>
                <w:sz w:val="24"/>
              </w:rPr>
              <w:t>Deuda de los años</w:t>
            </w:r>
          </w:p>
        </w:tc>
      </w:tr>
      <w:tr>
        <w:trPr>
          <w:wAfter w:w="0" w:type="dxa"/>
        </w:trPr>
        <w:tc>
          <w:tcPr>
            <w:tcW w:w="235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Zamora, Julia Eulalia</w:t>
            </w:r>
          </w:p>
        </w:tc>
        <w:tc>
          <w:tcPr>
            <w:tcW w:w="2681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1749</w:t>
            </w:r>
          </w:p>
        </w:tc>
        <w:tc>
          <w:tcPr>
            <w:tcW w:w="2268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639/02</w:t>
            </w:r>
          </w:p>
        </w:tc>
        <w:tc>
          <w:tcPr>
            <w:tcW w:w="2104" w:type="dxa"/>
            <w:vAlign w:val="center"/>
          </w:tcPr>
          <w:p>
            <w:pPr>
              <w:pStyle w:val="P1"/>
              <w:jc w:val="center"/>
              <w:rPr>
                <w:rStyle w:val="C3"/>
                <w:sz w:val="24"/>
              </w:rPr>
            </w:pPr>
            <w:r>
              <w:rPr>
                <w:rStyle w:val="C3"/>
                <w:sz w:val="24"/>
              </w:rPr>
              <w:t>-</w:t>
            </w:r>
          </w:p>
        </w:tc>
      </w:tr>
    </w:tbl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</w:rPr>
        <w:t>: 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DIEZ DÍAS DEL MES DE MARZO DEL AÑO DOS MIL CINCO.</w:t>
      </w:r>
    </w:p>
    <w:p>
      <w:pPr>
        <w:pStyle w:val="P1"/>
        <w:jc w:val="both"/>
        <w:rPr>
          <w:rStyle w:val="C3"/>
        </w:rPr>
      </w:pPr>
    </w:p>
    <w:p>
      <w:pPr>
        <w:pStyle w:val="P1"/>
        <w:jc w:val="both"/>
        <w:rPr>
          <w:rStyle w:val="C3"/>
        </w:rPr>
      </w:pPr>
    </w:p>
    <w:sectPr>
      <w:type w:val="nextPage"/>
      <w:pgSz w:w="11907" w:h="16840" w:code="0"/>
      <w:pgMar w:left="1321" w:right="132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Tabla con cuadrícula"/>
    <w:basedOn w:val="T2"/>
    <w:tblPr>
      <w:tblBorders>
        <w:top w:val="single" w:sz="4" w:space="0" w:shadow="0" w:frame="0"/>
        <w:left w:val="single" w:sz="4" w:space="0" w:shadow="0" w:frame="0"/>
        <w:bottom w:val="single" w:sz="4" w:space="0" w:shadow="0" w:frame="0"/>
        <w:right w:val="single" w:sz="4" w:space="0" w:shadow="0" w:frame="0"/>
        <w:insideH w:val="single" w:sz="4" w:space="0" w:shadow="0" w:frame="0"/>
        <w:insideV w:val="single" w:sz="4" w:space="0" w:shadow="0" w:frame="0"/>
      </w:tblBorders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2005-03-14T21:54:00Z</dcterms:created>
  <cp:lastModifiedBy>Ethan Puglia</cp:lastModifiedBy>
  <cp:lastPrinted>2004-11-10T17:24:00Z</cp:lastPrinted>
  <dcterms:modified xsi:type="dcterms:W3CDTF">2019-03-28T17:34:04Z</dcterms:modified>
  <cp:revision>6</cp:revision>
  <dc:title>1¾   «        M</dc:title>
</cp:coreProperties>
</file>