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232BFEF2" Type="http://schemas.openxmlformats.org/officeDocument/2006/relationships/officeDocument" Target="/word/document.xml" /><Relationship Id="coreR232BFEF2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1"/>
        <w:jc w:val="center"/>
        <w:rPr>
          <w:rStyle w:val="C3"/>
          <w:b w:val="1"/>
          <w:sz w:val="24"/>
          <w:u w:val="single"/>
        </w:rPr>
      </w:pPr>
    </w:p>
    <w:p>
      <w:pPr>
        <w:pStyle w:val="P1"/>
        <w:jc w:val="center"/>
        <w:rPr>
          <w:rStyle w:val="C3"/>
          <w:b w:val="1"/>
          <w:sz w:val="24"/>
          <w:u w:val="single"/>
        </w:rPr>
      </w:pPr>
    </w:p>
    <w:p>
      <w:pPr>
        <w:pStyle w:val="P1"/>
        <w:jc w:val="center"/>
        <w:rPr>
          <w:rStyle w:val="C3"/>
          <w:b w:val="1"/>
          <w:sz w:val="24"/>
          <w:u w:val="single"/>
        </w:rPr>
      </w:pPr>
      <w:r>
        <w:rPr>
          <w:rStyle w:val="C3"/>
          <w:b w:val="1"/>
          <w:sz w:val="24"/>
          <w:u w:val="single"/>
        </w:rPr>
        <w:t>ORDENANZA Nº 71</w:t>
      </w:r>
      <w:r>
        <w:rPr>
          <w:rStyle w:val="C3"/>
          <w:b w:val="1"/>
          <w:sz w:val="24"/>
          <w:u w:val="single"/>
        </w:rPr>
        <w:t>81</w:t>
      </w:r>
    </w:p>
    <w:p>
      <w:pPr>
        <w:pStyle w:val="P1"/>
        <w:jc w:val="center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 xml:space="preserve">  </w:t>
      </w:r>
    </w:p>
    <w:p>
      <w:pPr>
        <w:pStyle w:val="P1"/>
        <w:ind w:hanging="709" w:left="709"/>
        <w:jc w:val="center"/>
        <w:rPr>
          <w:rStyle w:val="C3"/>
          <w:sz w:val="24"/>
        </w:rPr>
      </w:pPr>
    </w:p>
    <w:p>
      <w:pPr>
        <w:pStyle w:val="P1"/>
        <w:ind w:hanging="709" w:left="709"/>
        <w:jc w:val="both"/>
        <w:rPr>
          <w:rStyle w:val="C3"/>
          <w:sz w:val="24"/>
        </w:rPr>
      </w:pPr>
      <w:r>
        <w:rPr>
          <w:rStyle w:val="C3"/>
          <w:sz w:val="24"/>
        </w:rPr>
        <w:t>Visto: Los Expedientes Nº 56/03 y 648/I/04 donde se solicita exención de Tasa por Servicios a la Propiedad; y</w:t>
      </w:r>
    </w:p>
    <w:p>
      <w:pPr>
        <w:pStyle w:val="P1"/>
        <w:ind w:hanging="709" w:left="709"/>
        <w:jc w:val="both"/>
        <w:rPr>
          <w:rStyle w:val="C3"/>
          <w:sz w:val="24"/>
        </w:rPr>
      </w:pPr>
    </w:p>
    <w:p>
      <w:pPr>
        <w:pStyle w:val="P1"/>
        <w:ind w:left="2832"/>
        <w:rPr>
          <w:rStyle w:val="C3"/>
          <w:b w:val="1"/>
          <w:sz w:val="24"/>
        </w:rPr>
      </w:pPr>
      <w:r>
        <w:rPr>
          <w:rStyle w:val="C3"/>
          <w:b w:val="1"/>
          <w:sz w:val="24"/>
        </w:rPr>
        <w:t xml:space="preserve"> </w:t>
      </w:r>
    </w:p>
    <w:p>
      <w:pPr>
        <w:pStyle w:val="P1"/>
        <w:ind w:left="2832"/>
        <w:rPr>
          <w:rStyle w:val="C3"/>
          <w:b w:val="1"/>
          <w:sz w:val="24"/>
        </w:rPr>
      </w:pPr>
      <w:r>
        <w:rPr>
          <w:rStyle w:val="C3"/>
          <w:b w:val="1"/>
          <w:sz w:val="24"/>
        </w:rPr>
        <w:t xml:space="preserve">  C O N S I D E R A N D O</w:t>
      </w:r>
    </w:p>
    <w:p>
      <w:pPr>
        <w:pStyle w:val="P2"/>
        <w:ind w:left="0"/>
        <w:rPr>
          <w:rStyle w:val="C3"/>
          <w:rFonts w:ascii="Courier New" w:hAnsi="Courier New"/>
        </w:rPr>
      </w:pPr>
    </w:p>
    <w:p>
      <w:pPr>
        <w:pStyle w:val="P2"/>
        <w:ind w:left="0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ab/>
      </w:r>
    </w:p>
    <w:p>
      <w:pPr>
        <w:pStyle w:val="P2"/>
        <w:ind w:hanging="709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ab/>
        <w:t>Que se trata de solicitudes de exenciones para diferentes vecinos de nuestra ciudad;</w:t>
      </w:r>
    </w:p>
    <w:p>
      <w:pPr>
        <w:pStyle w:val="P2"/>
        <w:ind w:hanging="1"/>
        <w:rPr>
          <w:rStyle w:val="C3"/>
          <w:rFonts w:ascii="Courier New" w:hAnsi="Courier New"/>
        </w:rPr>
      </w:pPr>
    </w:p>
    <w:p>
      <w:pPr>
        <w:pStyle w:val="P2"/>
        <w:ind w:hanging="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los respectivos estudios socioeconómicos informan que se trata de familias que atraviesan difíciles situaciones que determinan la imposibilidad de hacer frente a muchas necesidades básicas;</w:t>
      </w:r>
    </w:p>
    <w:p>
      <w:pPr>
        <w:pStyle w:val="P2"/>
        <w:ind w:hanging="1"/>
        <w:rPr>
          <w:rStyle w:val="C3"/>
          <w:rFonts w:ascii="Courier New" w:hAnsi="Courier New"/>
        </w:rPr>
      </w:pPr>
    </w:p>
    <w:p>
      <w:pPr>
        <w:pStyle w:val="P2"/>
        <w:ind w:hanging="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Que, generalmente, realizan trabajos inestables (changas) para poder lograr su subsistencia mínima;</w:t>
      </w:r>
    </w:p>
    <w:p>
      <w:pPr>
        <w:pStyle w:val="P2"/>
        <w:ind w:hanging="1"/>
        <w:rPr>
          <w:rStyle w:val="C3"/>
          <w:rFonts w:ascii="Courier New" w:hAnsi="Courier New"/>
        </w:rPr>
      </w:pPr>
    </w:p>
    <w:p>
      <w:pPr>
        <w:pStyle w:val="P2"/>
        <w:ind w:hanging="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presentan importantes problemas de salud con tratamiento permanente y gastos en medicamentos que les impide afrontar la deuda contraída;</w:t>
      </w:r>
    </w:p>
    <w:p>
      <w:pPr>
        <w:pStyle w:val="P2"/>
        <w:ind w:hanging="1"/>
        <w:rPr>
          <w:rStyle w:val="C3"/>
          <w:rFonts w:ascii="Courier New" w:hAnsi="Courier New"/>
        </w:rPr>
      </w:pPr>
    </w:p>
    <w:p>
      <w:pPr>
        <w:pStyle w:val="P2"/>
        <w:ind w:hanging="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 través de las respectivas oficinas municipales se cumplimentaron los informes necesarios a los efectos de hacer posibles las exenciones solicitadas;</w:t>
      </w:r>
    </w:p>
    <w:p>
      <w:pPr>
        <w:pStyle w:val="P2"/>
        <w:ind w:hanging="1"/>
        <w:rPr>
          <w:rStyle w:val="C3"/>
          <w:rFonts w:ascii="Courier New" w:hAnsi="Courier New"/>
        </w:rPr>
      </w:pPr>
    </w:p>
    <w:p>
      <w:pPr>
        <w:pStyle w:val="P2"/>
        <w:ind w:hanging="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evaluado el contenido de cada uno de los Expedientes mencionados por Comisión de Hacienda, la misma emite despacho accediendo a lo solicitado en el marco de las Ordenanzas vigentes, despacho aprobado por unanimidad en Sesión Ordinaria de fecha 17 de marzo de 2005.   </w:t>
      </w:r>
    </w:p>
    <w:p>
      <w:pPr>
        <w:pStyle w:val="P2"/>
        <w:ind w:hanging="1"/>
        <w:rPr>
          <w:rStyle w:val="C3"/>
          <w:rFonts w:ascii="Courier New" w:hAnsi="Courier New"/>
        </w:rPr>
      </w:pPr>
    </w:p>
    <w:p>
      <w:pPr>
        <w:pStyle w:val="P2"/>
        <w:ind w:hanging="1"/>
        <w:rPr>
          <w:rStyle w:val="C3"/>
          <w:rFonts w:ascii="Courier New" w:hAnsi="Courier New"/>
        </w:rPr>
      </w:pPr>
    </w:p>
    <w:p>
      <w:pPr>
        <w:pStyle w:val="P2"/>
        <w:ind w:hanging="1"/>
        <w:rPr>
          <w:rStyle w:val="C3"/>
          <w:rFonts w:ascii="Courier New" w:hAnsi="Courier New"/>
        </w:rPr>
      </w:pPr>
    </w:p>
    <w:p>
      <w:pPr>
        <w:pStyle w:val="P1"/>
        <w:ind w:firstLine="1" w:left="708"/>
        <w:rPr>
          <w:rStyle w:val="C3"/>
          <w:b w:val="1"/>
          <w:sz w:val="24"/>
        </w:rPr>
      </w:pPr>
      <w:r>
        <w:rPr>
          <w:rStyle w:val="C3"/>
          <w:sz w:val="24"/>
        </w:rPr>
        <w:t xml:space="preserve">    </w:t>
      </w:r>
      <w:r>
        <w:rPr>
          <w:rStyle w:val="C3"/>
          <w:b w:val="1"/>
          <w:sz w:val="24"/>
        </w:rPr>
        <w:t>EL HONORABLE CONCEJO DELIBERANTE DE LA CIUDAD DE</w:t>
      </w:r>
    </w:p>
    <w:p>
      <w:pPr>
        <w:pStyle w:val="P1"/>
        <w:ind w:left="709"/>
        <w:jc w:val="center"/>
        <w:rPr>
          <w:rStyle w:val="C3"/>
          <w:b w:val="1"/>
          <w:sz w:val="24"/>
        </w:rPr>
      </w:pPr>
    </w:p>
    <w:p>
      <w:pPr>
        <w:pStyle w:val="P1"/>
        <w:ind w:left="709"/>
        <w:jc w:val="center"/>
        <w:rPr>
          <w:rStyle w:val="C3"/>
          <w:b w:val="1"/>
          <w:sz w:val="24"/>
        </w:rPr>
      </w:pPr>
    </w:p>
    <w:p>
      <w:pPr>
        <w:pStyle w:val="P1"/>
        <w:ind w:left="709"/>
        <w:jc w:val="center"/>
        <w:rPr>
          <w:rStyle w:val="C3"/>
          <w:b w:val="1"/>
          <w:sz w:val="24"/>
        </w:rPr>
      </w:pPr>
    </w:p>
    <w:p>
      <w:pPr>
        <w:pStyle w:val="P1"/>
        <w:ind w:left="1416"/>
        <w:rPr>
          <w:rStyle w:val="C3"/>
          <w:b w:val="1"/>
          <w:sz w:val="24"/>
        </w:rPr>
      </w:pPr>
      <w:r>
        <w:rPr>
          <w:rStyle w:val="C3"/>
          <w:b w:val="1"/>
          <w:sz w:val="24"/>
        </w:rPr>
        <w:t xml:space="preserve"> ALTA GRACIA SANCIONA CON FUERZA DE ORDENANZA</w:t>
      </w:r>
    </w:p>
    <w:p>
      <w:pPr>
        <w:pStyle w:val="P1"/>
        <w:jc w:val="right"/>
        <w:rPr>
          <w:rStyle w:val="C3"/>
          <w:sz w:val="24"/>
        </w:rPr>
      </w:pPr>
    </w:p>
    <w:p>
      <w:pPr>
        <w:pStyle w:val="P1"/>
        <w:jc w:val="right"/>
        <w:rPr>
          <w:rStyle w:val="C3"/>
          <w:sz w:val="24"/>
        </w:rPr>
      </w:pPr>
      <w:r>
        <w:rPr>
          <w:rStyle w:val="C3"/>
          <w:sz w:val="24"/>
        </w:rPr>
        <w:t>...///</w:t>
      </w:r>
    </w:p>
    <w:p>
      <w:pPr>
        <w:pStyle w:val="P1"/>
        <w:jc w:val="right"/>
        <w:rPr>
          <w:rStyle w:val="C3"/>
          <w:sz w:val="24"/>
        </w:rPr>
      </w:pPr>
    </w:p>
    <w:p>
      <w:pPr>
        <w:pStyle w:val="P1"/>
        <w:jc w:val="right"/>
        <w:rPr>
          <w:rStyle w:val="C3"/>
          <w:sz w:val="24"/>
        </w:rPr>
      </w:pPr>
    </w:p>
    <w:p>
      <w:pPr>
        <w:pStyle w:val="P1"/>
        <w:jc w:val="right"/>
        <w:rPr>
          <w:rStyle w:val="C3"/>
          <w:sz w:val="24"/>
        </w:rPr>
      </w:pPr>
    </w:p>
    <w:p>
      <w:pPr>
        <w:pStyle w:val="P1"/>
        <w:jc w:val="right"/>
        <w:rPr>
          <w:rStyle w:val="C3"/>
          <w:sz w:val="24"/>
        </w:rPr>
      </w:pPr>
    </w:p>
    <w:p>
      <w:pPr>
        <w:pStyle w:val="P1"/>
        <w:jc w:val="right"/>
        <w:rPr>
          <w:rStyle w:val="C3"/>
          <w:sz w:val="24"/>
        </w:rPr>
      </w:pPr>
    </w:p>
    <w:p>
      <w:pPr>
        <w:pStyle w:val="P1"/>
        <w:jc w:val="right"/>
        <w:rPr>
          <w:rStyle w:val="C3"/>
          <w:sz w:val="24"/>
        </w:rPr>
      </w:pPr>
    </w:p>
    <w:p>
      <w:pPr>
        <w:pStyle w:val="P1"/>
        <w:jc w:val="right"/>
        <w:rPr>
          <w:rStyle w:val="C3"/>
          <w:sz w:val="24"/>
        </w:rPr>
      </w:pPr>
    </w:p>
    <w:p>
      <w:pPr>
        <w:pStyle w:val="P1"/>
        <w:jc w:val="both"/>
        <w:rPr>
          <w:rStyle w:val="C3"/>
          <w:sz w:val="24"/>
        </w:rPr>
      </w:pPr>
      <w:r>
        <w:rPr>
          <w:rStyle w:val="C3"/>
          <w:sz w:val="24"/>
        </w:rPr>
        <w:t>...///2.-</w:t>
      </w:r>
    </w:p>
    <w:p>
      <w:pPr>
        <w:pStyle w:val="P1"/>
        <w:jc w:val="both"/>
        <w:rPr>
          <w:rStyle w:val="C3"/>
          <w:b w:val="1"/>
          <w:sz w:val="24"/>
          <w:u w:val="single"/>
        </w:rPr>
      </w:pPr>
    </w:p>
    <w:p>
      <w:pPr>
        <w:pStyle w:val="P1"/>
        <w:ind w:hanging="709" w:left="709"/>
        <w:jc w:val="both"/>
        <w:rPr>
          <w:rStyle w:val="C3"/>
          <w:b w:val="1"/>
          <w:sz w:val="24"/>
        </w:rPr>
      </w:pPr>
      <w:r>
        <w:rPr>
          <w:rStyle w:val="C3"/>
          <w:b w:val="1"/>
          <w:sz w:val="24"/>
          <w:u w:val="single"/>
        </w:rPr>
        <w:t>Art.1</w:t>
      </w:r>
      <w:r>
        <w:rPr>
          <w:rStyle w:val="C3"/>
          <w:b w:val="1"/>
          <w:sz w:val="24"/>
        </w:rPr>
        <w:t>:</w:t>
      </w:r>
      <w:r>
        <w:rPr>
          <w:rStyle w:val="C3"/>
          <w:sz w:val="24"/>
        </w:rPr>
        <w:t xml:space="preserve"> </w:t>
      </w:r>
      <w:r>
        <w:rPr>
          <w:rStyle w:val="C3"/>
          <w:b w:val="1"/>
          <w:sz w:val="24"/>
        </w:rPr>
        <w:t>EXÍM</w:t>
      </w:r>
      <w:r>
        <w:rPr>
          <w:rStyle w:val="C3"/>
          <w:b w:val="1"/>
          <w:sz w:val="24"/>
        </w:rPr>
        <w:t>ASE</w:t>
      </w:r>
      <w:r>
        <w:rPr>
          <w:rStyle w:val="C3"/>
          <w:b w:val="1"/>
          <w:sz w:val="24"/>
        </w:rPr>
        <w:t xml:space="preserve"> </w:t>
      </w:r>
      <w:r>
        <w:rPr>
          <w:rStyle w:val="C3"/>
          <w:sz w:val="24"/>
        </w:rPr>
        <w:t>a los propietarios de los siguientes inmuebles, en los porcentajes abajo detallados, de la deuda que en concepto de Tasa por Servicios a la Propiedad mantienen con el Municipio respecto de las designaciones catastrales correspondientes:</w:t>
      </w:r>
    </w:p>
    <w:p>
      <w:pPr>
        <w:pStyle w:val="P1"/>
        <w:ind w:hanging="709" w:left="709"/>
        <w:jc w:val="both"/>
        <w:rPr>
          <w:rStyle w:val="C3"/>
          <w:b w:val="1"/>
          <w:sz w:val="24"/>
          <w:u w:val="single"/>
        </w:rPr>
      </w:pPr>
    </w:p>
    <w:tbl>
      <w:tblPr>
        <w:tblBorders>
          <w:top w:val="single" w:sz="4" w:space="0" w:shadow="0" w:frame="0"/>
          <w:left w:val="single" w:sz="4" w:space="0" w:shadow="0" w:frame="0"/>
          <w:bottom w:val="single" w:sz="4" w:space="0" w:shadow="0" w:frame="0"/>
          <w:right w:val="single" w:sz="4" w:space="0" w:shadow="0" w:frame="0"/>
          <w:insideH w:val="single" w:sz="4" w:space="0" w:shadow="0" w:frame="0"/>
          <w:insideV w:val="single" w:sz="4" w:space="0" w:shadow="0" w:fram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/>
      <w:tr>
        <w:tc>
          <w:tcPr>
            <w:tcW w:w="1567" w:type="dxa"/>
          </w:tcPr>
          <w:p>
            <w:pPr>
              <w:pStyle w:val="P1"/>
              <w:jc w:val="center"/>
              <w:rPr>
                <w:rStyle w:val="C3"/>
                <w:b w:val="1"/>
                <w:sz w:val="24"/>
              </w:rPr>
            </w:pPr>
            <w:r>
              <w:rPr>
                <w:rStyle w:val="C3"/>
                <w:b w:val="1"/>
                <w:sz w:val="24"/>
              </w:rPr>
              <w:t>Titular</w:t>
            </w:r>
          </w:p>
        </w:tc>
        <w:tc>
          <w:tcPr>
            <w:tcW w:w="2047" w:type="dxa"/>
          </w:tcPr>
          <w:p>
            <w:pPr>
              <w:pStyle w:val="P1"/>
              <w:jc w:val="center"/>
              <w:rPr>
                <w:rStyle w:val="C3"/>
                <w:b w:val="1"/>
                <w:sz w:val="24"/>
              </w:rPr>
            </w:pPr>
            <w:r>
              <w:rPr>
                <w:rStyle w:val="C3"/>
                <w:b w:val="1"/>
                <w:sz w:val="24"/>
              </w:rPr>
              <w:t>Designación Catast.</w:t>
            </w:r>
          </w:p>
        </w:tc>
        <w:tc>
          <w:tcPr>
            <w:tcW w:w="1559" w:type="dxa"/>
          </w:tcPr>
          <w:p>
            <w:pPr>
              <w:pStyle w:val="P1"/>
              <w:jc w:val="center"/>
              <w:rPr>
                <w:rStyle w:val="C3"/>
                <w:b w:val="1"/>
                <w:sz w:val="24"/>
              </w:rPr>
            </w:pPr>
            <w:r>
              <w:rPr>
                <w:rStyle w:val="C3"/>
                <w:b w:val="1"/>
                <w:sz w:val="24"/>
              </w:rPr>
              <w:t>Expte. N°</w:t>
            </w:r>
          </w:p>
        </w:tc>
        <w:tc>
          <w:tcPr>
            <w:tcW w:w="1276" w:type="dxa"/>
          </w:tcPr>
          <w:p>
            <w:pPr>
              <w:pStyle w:val="P1"/>
              <w:jc w:val="center"/>
              <w:rPr>
                <w:rStyle w:val="C3"/>
                <w:b w:val="1"/>
                <w:sz w:val="24"/>
              </w:rPr>
            </w:pPr>
            <w:r>
              <w:rPr>
                <w:rStyle w:val="C3"/>
                <w:b w:val="1"/>
                <w:sz w:val="24"/>
              </w:rPr>
              <w:t>% Exención</w:t>
            </w:r>
          </w:p>
        </w:tc>
        <w:tc>
          <w:tcPr>
            <w:tcW w:w="1418" w:type="dxa"/>
          </w:tcPr>
          <w:p>
            <w:pPr>
              <w:pStyle w:val="P1"/>
              <w:jc w:val="center"/>
              <w:rPr>
                <w:rStyle w:val="C3"/>
                <w:b w:val="1"/>
                <w:sz w:val="24"/>
              </w:rPr>
            </w:pPr>
            <w:r>
              <w:rPr>
                <w:rStyle w:val="C3"/>
                <w:b w:val="1"/>
                <w:sz w:val="24"/>
              </w:rPr>
              <w:t>Desde</w:t>
            </w:r>
          </w:p>
        </w:tc>
        <w:tc>
          <w:tcPr>
            <w:tcW w:w="1559" w:type="dxa"/>
          </w:tcPr>
          <w:p>
            <w:pPr>
              <w:pStyle w:val="P1"/>
              <w:jc w:val="center"/>
              <w:rPr>
                <w:rStyle w:val="C3"/>
                <w:b w:val="1"/>
                <w:sz w:val="24"/>
              </w:rPr>
            </w:pPr>
            <w:r>
              <w:rPr>
                <w:rStyle w:val="C3"/>
                <w:b w:val="1"/>
                <w:sz w:val="24"/>
              </w:rPr>
              <w:t>Hasta</w:t>
            </w:r>
          </w:p>
        </w:tc>
      </w:tr>
      <w:tr>
        <w:tblPrEx>
          <w:tblBorders>
            <w:top w:val="single" w:sz="4" w:space="0" w:shadow="0" w:frame="0"/>
            <w:left w:val="single" w:sz="4" w:space="0" w:shadow="0" w:frame="0"/>
            <w:bottom w:val="single" w:sz="4" w:space="0" w:shadow="0" w:frame="0"/>
            <w:right w:val="single" w:sz="4" w:space="0" w:shadow="0" w:frame="0"/>
            <w:insideH w:val="single" w:sz="4" w:space="0" w:shadow="0" w:frame="0"/>
            <w:insideV w:val="single" w:sz="4" w:space="0" w:shadow="0" w:frame="0"/>
          </w:tblBorders>
          <w:tblLayout w:type="fixed"/>
        </w:tblPrEx>
        <w:tc>
          <w:tcPr>
            <w:tcW w:w="1567" w:type="dxa"/>
          </w:tcPr>
          <w:p>
            <w:pPr>
              <w:pStyle w:val="P1"/>
              <w:jc w:val="center"/>
              <w:rPr>
                <w:rStyle w:val="C3"/>
                <w:sz w:val="24"/>
              </w:rPr>
            </w:pPr>
            <w:r>
              <w:rPr>
                <w:rStyle w:val="C3"/>
                <w:sz w:val="24"/>
              </w:rPr>
              <w:t>Bustos, Laura Beatriz</w:t>
            </w:r>
          </w:p>
        </w:tc>
        <w:tc>
          <w:tcPr>
            <w:tcW w:w="2047" w:type="dxa"/>
          </w:tcPr>
          <w:p>
            <w:pPr>
              <w:pStyle w:val="P1"/>
              <w:jc w:val="center"/>
              <w:rPr>
                <w:rStyle w:val="C3"/>
                <w:sz w:val="24"/>
              </w:rPr>
            </w:pPr>
            <w:r>
              <w:rPr>
                <w:rStyle w:val="C3"/>
                <w:sz w:val="24"/>
              </w:rPr>
              <w:t>3-01-181-012-000</w:t>
            </w:r>
          </w:p>
        </w:tc>
        <w:tc>
          <w:tcPr>
            <w:tcW w:w="1559" w:type="dxa"/>
          </w:tcPr>
          <w:p>
            <w:pPr>
              <w:pStyle w:val="P1"/>
              <w:jc w:val="center"/>
              <w:rPr>
                <w:rStyle w:val="C3"/>
                <w:sz w:val="24"/>
              </w:rPr>
            </w:pPr>
            <w:r>
              <w:rPr>
                <w:rStyle w:val="C3"/>
                <w:sz w:val="24"/>
              </w:rPr>
              <w:t>56/03</w:t>
            </w:r>
          </w:p>
        </w:tc>
        <w:tc>
          <w:tcPr>
            <w:tcW w:w="1276" w:type="dxa"/>
          </w:tcPr>
          <w:p>
            <w:pPr>
              <w:pStyle w:val="P1"/>
              <w:jc w:val="center"/>
              <w:rPr>
                <w:rStyle w:val="C3"/>
                <w:sz w:val="24"/>
              </w:rPr>
            </w:pPr>
            <w:r>
              <w:rPr>
                <w:rStyle w:val="C3"/>
                <w:sz w:val="24"/>
              </w:rPr>
              <w:t>70</w:t>
            </w:r>
          </w:p>
        </w:tc>
        <w:tc>
          <w:tcPr>
            <w:tcW w:w="1418" w:type="dxa"/>
          </w:tcPr>
          <w:p>
            <w:pPr>
              <w:pStyle w:val="P1"/>
              <w:jc w:val="center"/>
              <w:rPr>
                <w:rStyle w:val="C3"/>
                <w:sz w:val="24"/>
              </w:rPr>
            </w:pPr>
          </w:p>
        </w:tc>
        <w:tc>
          <w:tcPr>
            <w:tcW w:w="1559" w:type="dxa"/>
          </w:tcPr>
          <w:p>
            <w:pPr>
              <w:pStyle w:val="P1"/>
              <w:jc w:val="center"/>
              <w:rPr>
                <w:rStyle w:val="C3"/>
                <w:sz w:val="24"/>
              </w:rPr>
            </w:pPr>
            <w:r>
              <w:rPr>
                <w:rStyle w:val="C3"/>
                <w:sz w:val="24"/>
              </w:rPr>
              <w:t>Dic. 2004 inclusive</w:t>
            </w:r>
          </w:p>
        </w:tc>
      </w:tr>
    </w:tbl>
    <w:p>
      <w:pPr>
        <w:pStyle w:val="P1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1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Art.2</w:t>
      </w:r>
      <w:r>
        <w:rPr>
          <w:rStyle w:val="C3"/>
          <w:b w:val="1"/>
          <w:sz w:val="24"/>
        </w:rPr>
        <w:t>:</w:t>
      </w:r>
      <w:r>
        <w:rPr>
          <w:rStyle w:val="C3"/>
          <w:sz w:val="24"/>
        </w:rPr>
        <w:t xml:space="preserve"> </w:t>
      </w:r>
      <w:r>
        <w:rPr>
          <w:rStyle w:val="C3"/>
          <w:b w:val="1"/>
          <w:sz w:val="24"/>
        </w:rPr>
        <w:t>REALÍCESE</w:t>
      </w:r>
      <w:r>
        <w:rPr>
          <w:rStyle w:val="C3"/>
          <w:sz w:val="24"/>
        </w:rPr>
        <w:t xml:space="preserve"> Plan de Pagos a valores históricos con el saldo de la deuda a los propietarios de los siguientes inmuebles con cuotas mensuales que no superen los montos que se detallan a continuación, en concepto de Tasa por Servicios a la Propiedad de las correspondientes designaciones catastrales:</w:t>
      </w:r>
    </w:p>
    <w:p>
      <w:pPr>
        <w:pStyle w:val="P1"/>
        <w:rPr>
          <w:rStyle w:val="C3"/>
          <w:sz w:val="24"/>
        </w:rPr>
      </w:pPr>
    </w:p>
    <w:tbl>
      <w:tblPr>
        <w:tblBorders>
          <w:top w:val="single" w:sz="4" w:space="0" w:shadow="0" w:frame="0"/>
          <w:left w:val="single" w:sz="4" w:space="0" w:shadow="0" w:frame="0"/>
          <w:bottom w:val="single" w:sz="4" w:space="0" w:shadow="0" w:frame="0"/>
          <w:right w:val="single" w:sz="4" w:space="0" w:shadow="0" w:frame="0"/>
          <w:insideH w:val="single" w:sz="4" w:space="0" w:shadow="0" w:frame="0"/>
          <w:insideV w:val="single" w:sz="4" w:space="0" w:shadow="0" w:fram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/>
      <w:tr>
        <w:tc>
          <w:tcPr>
            <w:tcW w:w="1567" w:type="dxa"/>
          </w:tcPr>
          <w:p>
            <w:pPr>
              <w:pStyle w:val="P1"/>
              <w:jc w:val="center"/>
              <w:rPr>
                <w:rStyle w:val="C3"/>
                <w:b w:val="1"/>
                <w:sz w:val="24"/>
              </w:rPr>
            </w:pPr>
            <w:r>
              <w:rPr>
                <w:rStyle w:val="C3"/>
                <w:b w:val="1"/>
                <w:sz w:val="24"/>
              </w:rPr>
              <w:t>Titular</w:t>
            </w:r>
          </w:p>
        </w:tc>
        <w:tc>
          <w:tcPr>
            <w:tcW w:w="2047" w:type="dxa"/>
          </w:tcPr>
          <w:p>
            <w:pPr>
              <w:pStyle w:val="P1"/>
              <w:jc w:val="center"/>
              <w:rPr>
                <w:rStyle w:val="C3"/>
                <w:b w:val="1"/>
                <w:sz w:val="24"/>
              </w:rPr>
            </w:pPr>
            <w:r>
              <w:rPr>
                <w:rStyle w:val="C3"/>
                <w:b w:val="1"/>
                <w:sz w:val="24"/>
              </w:rPr>
              <w:t>Designación Catast.</w:t>
            </w:r>
          </w:p>
        </w:tc>
        <w:tc>
          <w:tcPr>
            <w:tcW w:w="1559" w:type="dxa"/>
          </w:tcPr>
          <w:p>
            <w:pPr>
              <w:pStyle w:val="P1"/>
              <w:jc w:val="center"/>
              <w:rPr>
                <w:rStyle w:val="C3"/>
                <w:b w:val="1"/>
                <w:sz w:val="24"/>
              </w:rPr>
            </w:pPr>
            <w:r>
              <w:rPr>
                <w:rStyle w:val="C3"/>
                <w:b w:val="1"/>
                <w:sz w:val="24"/>
              </w:rPr>
              <w:t>Expte. N°</w:t>
            </w:r>
          </w:p>
        </w:tc>
        <w:tc>
          <w:tcPr>
            <w:tcW w:w="1276" w:type="dxa"/>
          </w:tcPr>
          <w:p>
            <w:pPr>
              <w:pStyle w:val="P1"/>
              <w:jc w:val="center"/>
              <w:rPr>
                <w:rStyle w:val="C3"/>
                <w:b w:val="1"/>
                <w:sz w:val="24"/>
              </w:rPr>
            </w:pPr>
            <w:r>
              <w:rPr>
                <w:rStyle w:val="C3"/>
                <w:b w:val="1"/>
                <w:sz w:val="24"/>
              </w:rPr>
              <w:t>Cuota mensual</w:t>
            </w:r>
          </w:p>
        </w:tc>
        <w:tc>
          <w:tcPr>
            <w:tcW w:w="1985" w:type="dxa"/>
          </w:tcPr>
          <w:p>
            <w:pPr>
              <w:pStyle w:val="P1"/>
              <w:jc w:val="center"/>
              <w:rPr>
                <w:rStyle w:val="C3"/>
                <w:b w:val="1"/>
                <w:sz w:val="24"/>
              </w:rPr>
            </w:pPr>
            <w:r>
              <w:rPr>
                <w:rStyle w:val="C3"/>
                <w:b w:val="1"/>
                <w:sz w:val="24"/>
              </w:rPr>
              <w:t>Desde</w:t>
            </w:r>
          </w:p>
        </w:tc>
        <w:tc>
          <w:tcPr>
            <w:tcW w:w="992" w:type="dxa"/>
          </w:tcPr>
          <w:p>
            <w:pPr>
              <w:pStyle w:val="P1"/>
              <w:jc w:val="center"/>
              <w:rPr>
                <w:rStyle w:val="C3"/>
                <w:b w:val="1"/>
                <w:sz w:val="24"/>
              </w:rPr>
            </w:pPr>
            <w:r>
              <w:rPr>
                <w:rStyle w:val="C3"/>
                <w:b w:val="1"/>
                <w:sz w:val="24"/>
              </w:rPr>
              <w:t>Hasta</w:t>
            </w:r>
          </w:p>
        </w:tc>
      </w:tr>
      <w:tr>
        <w:tblPrEx>
          <w:tblBorders>
            <w:top w:val="single" w:sz="4" w:space="0" w:shadow="0" w:frame="0"/>
            <w:left w:val="single" w:sz="4" w:space="0" w:shadow="0" w:frame="0"/>
            <w:bottom w:val="single" w:sz="4" w:space="0" w:shadow="0" w:frame="0"/>
            <w:right w:val="single" w:sz="4" w:space="0" w:shadow="0" w:frame="0"/>
            <w:insideH w:val="single" w:sz="4" w:space="0" w:shadow="0" w:frame="0"/>
            <w:insideV w:val="single" w:sz="4" w:space="0" w:shadow="0" w:frame="0"/>
          </w:tblBorders>
          <w:tblLayout w:type="fixed"/>
        </w:tblPrEx>
        <w:tc>
          <w:tcPr>
            <w:tcW w:w="1567" w:type="dxa"/>
          </w:tcPr>
          <w:p>
            <w:pPr>
              <w:pStyle w:val="P1"/>
              <w:jc w:val="center"/>
              <w:rPr>
                <w:rStyle w:val="C3"/>
                <w:sz w:val="24"/>
              </w:rPr>
            </w:pPr>
            <w:r>
              <w:rPr>
                <w:rStyle w:val="C3"/>
                <w:sz w:val="24"/>
              </w:rPr>
              <w:t>Bustos, Laura Beatriz</w:t>
            </w:r>
          </w:p>
        </w:tc>
        <w:tc>
          <w:tcPr>
            <w:tcW w:w="2047" w:type="dxa"/>
          </w:tcPr>
          <w:p>
            <w:pPr>
              <w:pStyle w:val="P1"/>
              <w:jc w:val="center"/>
              <w:rPr>
                <w:rStyle w:val="C3"/>
                <w:sz w:val="24"/>
              </w:rPr>
            </w:pPr>
            <w:r>
              <w:rPr>
                <w:rStyle w:val="C3"/>
                <w:sz w:val="24"/>
              </w:rPr>
              <w:t>3-01-181-012-000</w:t>
            </w:r>
          </w:p>
        </w:tc>
        <w:tc>
          <w:tcPr>
            <w:tcW w:w="1559" w:type="dxa"/>
          </w:tcPr>
          <w:p>
            <w:pPr>
              <w:pStyle w:val="P1"/>
              <w:jc w:val="center"/>
              <w:rPr>
                <w:rStyle w:val="C3"/>
                <w:sz w:val="24"/>
              </w:rPr>
            </w:pPr>
            <w:r>
              <w:rPr>
                <w:rStyle w:val="C3"/>
                <w:sz w:val="24"/>
              </w:rPr>
              <w:t>56/03</w:t>
            </w:r>
          </w:p>
        </w:tc>
        <w:tc>
          <w:tcPr>
            <w:tcW w:w="1276" w:type="dxa"/>
          </w:tcPr>
          <w:p>
            <w:pPr>
              <w:pStyle w:val="P1"/>
              <w:jc w:val="center"/>
              <w:rPr>
                <w:rStyle w:val="C3"/>
                <w:sz w:val="24"/>
              </w:rPr>
            </w:pPr>
            <w:r>
              <w:rPr>
                <w:rStyle w:val="C3"/>
                <w:sz w:val="24"/>
              </w:rPr>
              <w:t>$15.-</w:t>
            </w:r>
          </w:p>
        </w:tc>
        <w:tc>
          <w:tcPr>
            <w:tcW w:w="1985" w:type="dxa"/>
          </w:tcPr>
          <w:p>
            <w:pPr>
              <w:pStyle w:val="P1"/>
              <w:jc w:val="center"/>
              <w:rPr>
                <w:rStyle w:val="C3"/>
                <w:sz w:val="24"/>
              </w:rPr>
            </w:pPr>
            <w:r>
              <w:rPr>
                <w:rStyle w:val="C3"/>
                <w:sz w:val="24"/>
              </w:rPr>
              <w:t>-</w:t>
            </w:r>
          </w:p>
        </w:tc>
        <w:tc>
          <w:tcPr>
            <w:tcW w:w="992" w:type="dxa"/>
          </w:tcPr>
          <w:p>
            <w:pPr>
              <w:pStyle w:val="P1"/>
              <w:jc w:val="center"/>
              <w:rPr>
                <w:rStyle w:val="C3"/>
                <w:sz w:val="24"/>
              </w:rPr>
            </w:pPr>
            <w:r>
              <w:rPr>
                <w:rStyle w:val="C3"/>
                <w:sz w:val="24"/>
              </w:rPr>
              <w:t>-</w:t>
            </w:r>
          </w:p>
        </w:tc>
      </w:tr>
    </w:tbl>
    <w:p>
      <w:pPr>
        <w:pStyle w:val="P1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1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Art.3</w:t>
      </w:r>
      <w:r>
        <w:rPr>
          <w:rStyle w:val="C3"/>
          <w:b w:val="1"/>
          <w:sz w:val="24"/>
        </w:rPr>
        <w:t xml:space="preserve">: </w:t>
      </w:r>
      <w:r>
        <w:rPr>
          <w:rStyle w:val="C3"/>
          <w:b w:val="1"/>
          <w:sz w:val="24"/>
        </w:rPr>
        <w:t>OTÓ</w:t>
      </w:r>
      <w:r>
        <w:rPr>
          <w:rStyle w:val="C3"/>
          <w:b w:val="1"/>
          <w:sz w:val="24"/>
        </w:rPr>
        <w:t>RGA</w:t>
      </w:r>
      <w:r>
        <w:rPr>
          <w:rStyle w:val="C3"/>
          <w:b w:val="1"/>
          <w:sz w:val="24"/>
        </w:rPr>
        <w:t>SE</w:t>
      </w:r>
      <w:r>
        <w:rPr>
          <w:rStyle w:val="C3"/>
          <w:sz w:val="24"/>
        </w:rPr>
        <w:t xml:space="preserve"> el beneficio de la Ordenanza 5485, Art.3 a los propietarios de los siguientes inmuebles fijando los montos a abonar que se detallan a continuación, en concepto de Tasa por Servicios a la Propiedad de las correspondientes designaciones catastrales:</w:t>
      </w:r>
    </w:p>
    <w:p>
      <w:pPr>
        <w:pStyle w:val="P1"/>
        <w:ind w:hanging="709" w:left="709"/>
        <w:jc w:val="both"/>
        <w:rPr>
          <w:rStyle w:val="C3"/>
          <w:b w:val="1"/>
          <w:sz w:val="24"/>
          <w:u w:val="single"/>
        </w:rPr>
      </w:pPr>
    </w:p>
    <w:tbl>
      <w:tblPr>
        <w:tblBorders>
          <w:top w:val="single" w:sz="4" w:space="0" w:shadow="0" w:frame="0"/>
          <w:left w:val="single" w:sz="4" w:space="0" w:shadow="0" w:frame="0"/>
          <w:bottom w:val="single" w:sz="4" w:space="0" w:shadow="0" w:frame="0"/>
          <w:right w:val="single" w:sz="4" w:space="0" w:shadow="0" w:frame="0"/>
          <w:insideH w:val="single" w:sz="4" w:space="0" w:shadow="0" w:frame="0"/>
          <w:insideV w:val="single" w:sz="4" w:space="0" w:shadow="0" w:fram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/>
      <w:tr>
        <w:tc>
          <w:tcPr>
            <w:tcW w:w="1346" w:type="dxa"/>
          </w:tcPr>
          <w:p>
            <w:pPr>
              <w:pStyle w:val="P1"/>
              <w:jc w:val="center"/>
              <w:rPr>
                <w:rStyle w:val="C3"/>
                <w:b w:val="1"/>
                <w:sz w:val="24"/>
              </w:rPr>
            </w:pPr>
            <w:r>
              <w:rPr>
                <w:rStyle w:val="C3"/>
                <w:b w:val="1"/>
                <w:sz w:val="24"/>
              </w:rPr>
              <w:t>Titular</w:t>
            </w:r>
          </w:p>
        </w:tc>
        <w:tc>
          <w:tcPr>
            <w:tcW w:w="2268" w:type="dxa"/>
          </w:tcPr>
          <w:p>
            <w:pPr>
              <w:pStyle w:val="P1"/>
              <w:jc w:val="center"/>
              <w:rPr>
                <w:rStyle w:val="C3"/>
                <w:b w:val="1"/>
                <w:sz w:val="24"/>
              </w:rPr>
            </w:pPr>
            <w:r>
              <w:rPr>
                <w:rStyle w:val="C3"/>
                <w:b w:val="1"/>
                <w:sz w:val="24"/>
              </w:rPr>
              <w:t>Designación Catast.</w:t>
            </w:r>
          </w:p>
        </w:tc>
        <w:tc>
          <w:tcPr>
            <w:tcW w:w="1559" w:type="dxa"/>
          </w:tcPr>
          <w:p>
            <w:pPr>
              <w:pStyle w:val="P1"/>
              <w:jc w:val="center"/>
              <w:rPr>
                <w:rStyle w:val="C3"/>
                <w:b w:val="1"/>
                <w:sz w:val="24"/>
              </w:rPr>
            </w:pPr>
            <w:r>
              <w:rPr>
                <w:rStyle w:val="C3"/>
                <w:b w:val="1"/>
                <w:sz w:val="24"/>
              </w:rPr>
              <w:t>Expte. N°</w:t>
            </w:r>
          </w:p>
        </w:tc>
        <w:tc>
          <w:tcPr>
            <w:tcW w:w="1276" w:type="dxa"/>
          </w:tcPr>
          <w:p>
            <w:pPr>
              <w:pStyle w:val="P1"/>
              <w:jc w:val="center"/>
              <w:rPr>
                <w:rStyle w:val="C3"/>
                <w:b w:val="1"/>
                <w:sz w:val="24"/>
              </w:rPr>
            </w:pPr>
            <w:r>
              <w:rPr>
                <w:rStyle w:val="C3"/>
                <w:b w:val="1"/>
                <w:sz w:val="24"/>
              </w:rPr>
              <w:t>Cuota mensual</w:t>
            </w:r>
          </w:p>
        </w:tc>
        <w:tc>
          <w:tcPr>
            <w:tcW w:w="1418" w:type="dxa"/>
          </w:tcPr>
          <w:p>
            <w:pPr>
              <w:pStyle w:val="P1"/>
              <w:jc w:val="center"/>
              <w:rPr>
                <w:rStyle w:val="C3"/>
                <w:b w:val="1"/>
                <w:sz w:val="24"/>
              </w:rPr>
            </w:pPr>
            <w:r>
              <w:rPr>
                <w:rStyle w:val="C3"/>
                <w:b w:val="1"/>
                <w:sz w:val="24"/>
              </w:rPr>
              <w:t>Desde</w:t>
            </w:r>
          </w:p>
        </w:tc>
        <w:tc>
          <w:tcPr>
            <w:tcW w:w="1559" w:type="dxa"/>
          </w:tcPr>
          <w:p>
            <w:pPr>
              <w:pStyle w:val="P1"/>
              <w:jc w:val="center"/>
              <w:rPr>
                <w:rStyle w:val="C3"/>
                <w:b w:val="1"/>
                <w:sz w:val="24"/>
              </w:rPr>
            </w:pPr>
            <w:r>
              <w:rPr>
                <w:rStyle w:val="C3"/>
                <w:b w:val="1"/>
                <w:sz w:val="24"/>
              </w:rPr>
              <w:t>Hasta</w:t>
            </w:r>
          </w:p>
        </w:tc>
      </w:tr>
      <w:tr>
        <w:tblPrEx>
          <w:tblBorders>
            <w:top w:val="single" w:sz="4" w:space="0" w:shadow="0" w:frame="0"/>
            <w:left w:val="single" w:sz="4" w:space="0" w:shadow="0" w:frame="0"/>
            <w:bottom w:val="single" w:sz="4" w:space="0" w:shadow="0" w:frame="0"/>
            <w:right w:val="single" w:sz="4" w:space="0" w:shadow="0" w:frame="0"/>
            <w:insideH w:val="single" w:sz="4" w:space="0" w:shadow="0" w:frame="0"/>
            <w:insideV w:val="single" w:sz="4" w:space="0" w:shadow="0" w:frame="0"/>
          </w:tblBorders>
          <w:tblLayout w:type="fixed"/>
        </w:tblPrEx>
        <w:tc>
          <w:tcPr>
            <w:tcW w:w="1346" w:type="dxa"/>
          </w:tcPr>
          <w:p>
            <w:pPr>
              <w:pStyle w:val="P1"/>
              <w:jc w:val="center"/>
              <w:rPr>
                <w:rStyle w:val="C3"/>
                <w:sz w:val="24"/>
              </w:rPr>
            </w:pPr>
            <w:r>
              <w:rPr>
                <w:rStyle w:val="C3"/>
                <w:sz w:val="24"/>
              </w:rPr>
              <w:t>Díaz, Carlos Hugo y Funes, E.M.</w:t>
            </w:r>
          </w:p>
        </w:tc>
        <w:tc>
          <w:tcPr>
            <w:tcW w:w="2268" w:type="dxa"/>
          </w:tcPr>
          <w:p>
            <w:pPr>
              <w:pStyle w:val="P1"/>
              <w:jc w:val="center"/>
              <w:rPr>
                <w:rStyle w:val="C3"/>
                <w:sz w:val="24"/>
              </w:rPr>
            </w:pPr>
            <w:r>
              <w:rPr>
                <w:rStyle w:val="C3"/>
                <w:sz w:val="24"/>
              </w:rPr>
              <w:t>3-01-244-011-000</w:t>
            </w:r>
          </w:p>
        </w:tc>
        <w:tc>
          <w:tcPr>
            <w:tcW w:w="1559" w:type="dxa"/>
          </w:tcPr>
          <w:p>
            <w:pPr>
              <w:pStyle w:val="P1"/>
              <w:jc w:val="center"/>
              <w:rPr>
                <w:rStyle w:val="C3"/>
                <w:sz w:val="24"/>
              </w:rPr>
            </w:pPr>
            <w:r>
              <w:rPr>
                <w:rStyle w:val="C3"/>
                <w:sz w:val="24"/>
              </w:rPr>
              <w:t>648/I/04</w:t>
            </w:r>
          </w:p>
        </w:tc>
        <w:tc>
          <w:tcPr>
            <w:tcW w:w="1276" w:type="dxa"/>
          </w:tcPr>
          <w:p>
            <w:pPr>
              <w:pStyle w:val="P1"/>
              <w:jc w:val="center"/>
              <w:rPr>
                <w:rStyle w:val="C3"/>
                <w:sz w:val="24"/>
              </w:rPr>
            </w:pPr>
            <w:r>
              <w:rPr>
                <w:rStyle w:val="C3"/>
                <w:sz w:val="24"/>
              </w:rPr>
              <w:t>$5.-</w:t>
            </w:r>
          </w:p>
        </w:tc>
        <w:tc>
          <w:tcPr>
            <w:tcW w:w="1418" w:type="dxa"/>
          </w:tcPr>
          <w:p>
            <w:pPr>
              <w:pStyle w:val="P1"/>
              <w:jc w:val="center"/>
              <w:rPr>
                <w:rStyle w:val="C3"/>
                <w:sz w:val="24"/>
              </w:rPr>
            </w:pPr>
            <w:r>
              <w:rPr>
                <w:rStyle w:val="C3"/>
                <w:sz w:val="24"/>
              </w:rPr>
              <w:t>Enero de 2005</w:t>
            </w:r>
          </w:p>
        </w:tc>
        <w:tc>
          <w:tcPr>
            <w:tcW w:w="1559" w:type="dxa"/>
          </w:tcPr>
          <w:p>
            <w:pPr>
              <w:pStyle w:val="P1"/>
              <w:jc w:val="center"/>
              <w:rPr>
                <w:rStyle w:val="C3"/>
                <w:sz w:val="24"/>
              </w:rPr>
            </w:pPr>
            <w:r>
              <w:rPr>
                <w:rStyle w:val="C3"/>
                <w:sz w:val="24"/>
              </w:rPr>
              <w:t>Diciembre de 2006 inclusive</w:t>
            </w:r>
          </w:p>
        </w:tc>
      </w:tr>
    </w:tbl>
    <w:p>
      <w:pPr>
        <w:pStyle w:val="P1"/>
        <w:ind w:hanging="709" w:left="709"/>
        <w:jc w:val="both"/>
        <w:rPr>
          <w:rStyle w:val="C3"/>
          <w:b w:val="1"/>
          <w:sz w:val="24"/>
        </w:rPr>
      </w:pPr>
    </w:p>
    <w:p>
      <w:pPr>
        <w:pStyle w:val="P1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Art.4</w:t>
      </w:r>
      <w:r>
        <w:rPr>
          <w:rStyle w:val="C3"/>
          <w:b w:val="1"/>
          <w:sz w:val="24"/>
        </w:rPr>
        <w:t xml:space="preserve">: </w:t>
      </w:r>
      <w:r>
        <w:rPr>
          <w:rStyle w:val="C3"/>
          <w:b w:val="1"/>
          <w:sz w:val="24"/>
        </w:rPr>
        <w:t>CADÚQUESE</w:t>
      </w:r>
      <w:r>
        <w:rPr>
          <w:rStyle w:val="C3"/>
          <w:b w:val="1"/>
          <w:sz w:val="24"/>
        </w:rPr>
        <w:t xml:space="preserve"> </w:t>
      </w:r>
      <w:r>
        <w:rPr>
          <w:rStyle w:val="C3"/>
          <w:sz w:val="24"/>
        </w:rPr>
        <w:t>en forma inmediata los beneficios otorgados en el artículo 3 de la presente, en</w:t>
      </w:r>
      <w:r>
        <w:rPr>
          <w:rStyle w:val="C3"/>
          <w:b w:val="1"/>
          <w:sz w:val="24"/>
        </w:rPr>
        <w:t xml:space="preserve"> </w:t>
      </w:r>
      <w:r>
        <w:rPr>
          <w:rStyle w:val="C3"/>
          <w:sz w:val="24"/>
        </w:rPr>
        <w:t>caso de transferencia de los inmuebles de la designación catastral correspondiente o variaciones en la situación socioeconómica, para el propietario de los siguientes inmuebles:</w:t>
      </w:r>
    </w:p>
    <w:p>
      <w:pPr>
        <w:pStyle w:val="P1"/>
        <w:ind w:hanging="709" w:left="709"/>
        <w:jc w:val="right"/>
        <w:rPr>
          <w:rStyle w:val="C3"/>
          <w:sz w:val="24"/>
        </w:rPr>
      </w:pPr>
      <w:r>
        <w:rPr>
          <w:rStyle w:val="C3"/>
          <w:sz w:val="24"/>
        </w:rPr>
        <w:t>...///</w:t>
      </w:r>
    </w:p>
    <w:p>
      <w:pPr>
        <w:pStyle w:val="P1"/>
        <w:jc w:val="both"/>
        <w:rPr>
          <w:rStyle w:val="C3"/>
          <w:b w:val="1"/>
          <w:sz w:val="24"/>
          <w:u w:val="single"/>
        </w:rPr>
      </w:pPr>
    </w:p>
    <w:p>
      <w:pPr>
        <w:pStyle w:val="P1"/>
        <w:jc w:val="both"/>
        <w:rPr>
          <w:rStyle w:val="C3"/>
          <w:b w:val="1"/>
          <w:sz w:val="24"/>
          <w:u w:val="single"/>
        </w:rPr>
      </w:pPr>
    </w:p>
    <w:p>
      <w:pPr>
        <w:pStyle w:val="P1"/>
        <w:jc w:val="both"/>
        <w:rPr>
          <w:rStyle w:val="C3"/>
          <w:b w:val="1"/>
          <w:sz w:val="24"/>
          <w:u w:val="single"/>
        </w:rPr>
      </w:pPr>
    </w:p>
    <w:p>
      <w:pPr>
        <w:pStyle w:val="P1"/>
        <w:jc w:val="both"/>
        <w:rPr>
          <w:rStyle w:val="C3"/>
          <w:b w:val="1"/>
          <w:sz w:val="24"/>
          <w:u w:val="single"/>
        </w:rPr>
      </w:pPr>
    </w:p>
    <w:p>
      <w:pPr>
        <w:pStyle w:val="P1"/>
        <w:ind w:hanging="709" w:left="709"/>
        <w:jc w:val="both"/>
        <w:rPr>
          <w:rStyle w:val="C3"/>
          <w:sz w:val="24"/>
        </w:rPr>
      </w:pPr>
      <w:r>
        <w:rPr>
          <w:rStyle w:val="C3"/>
          <w:sz w:val="24"/>
        </w:rPr>
        <w:t>...///3.-</w:t>
      </w:r>
    </w:p>
    <w:p>
      <w:pPr>
        <w:pStyle w:val="P1"/>
        <w:jc w:val="both"/>
        <w:rPr>
          <w:rStyle w:val="C3"/>
          <w:b w:val="1"/>
          <w:sz w:val="24"/>
          <w:u w:val="single"/>
        </w:rPr>
      </w:pPr>
    </w:p>
    <w:tbl>
      <w:tblPr>
        <w:tblBorders>
          <w:top w:val="single" w:sz="4" w:space="0" w:shadow="0" w:frame="0"/>
          <w:left w:val="single" w:sz="4" w:space="0" w:shadow="0" w:frame="0"/>
          <w:bottom w:val="single" w:sz="4" w:space="0" w:shadow="0" w:frame="0"/>
          <w:right w:val="single" w:sz="4" w:space="0" w:shadow="0" w:frame="0"/>
          <w:insideH w:val="single" w:sz="4" w:space="0" w:shadow="0" w:frame="0"/>
          <w:insideV w:val="single" w:sz="4" w:space="0" w:shadow="0" w:fram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/>
      <w:tr>
        <w:tc>
          <w:tcPr>
            <w:tcW w:w="3135" w:type="dxa"/>
          </w:tcPr>
          <w:p>
            <w:pPr>
              <w:pStyle w:val="P1"/>
              <w:jc w:val="center"/>
              <w:rPr>
                <w:rStyle w:val="C3"/>
                <w:b w:val="1"/>
                <w:sz w:val="24"/>
              </w:rPr>
            </w:pPr>
            <w:r>
              <w:rPr>
                <w:rStyle w:val="C3"/>
                <w:b w:val="1"/>
                <w:sz w:val="24"/>
              </w:rPr>
              <w:t>Titular</w:t>
            </w:r>
          </w:p>
        </w:tc>
        <w:tc>
          <w:tcPr>
            <w:tcW w:w="3135" w:type="dxa"/>
          </w:tcPr>
          <w:p>
            <w:pPr>
              <w:pStyle w:val="P1"/>
              <w:jc w:val="center"/>
              <w:rPr>
                <w:rStyle w:val="C3"/>
                <w:b w:val="1"/>
                <w:sz w:val="24"/>
              </w:rPr>
            </w:pPr>
            <w:r>
              <w:rPr>
                <w:rStyle w:val="C3"/>
                <w:b w:val="1"/>
                <w:sz w:val="24"/>
              </w:rPr>
              <w:t>Designación Catast.</w:t>
            </w:r>
          </w:p>
        </w:tc>
        <w:tc>
          <w:tcPr>
            <w:tcW w:w="3135" w:type="dxa"/>
          </w:tcPr>
          <w:p>
            <w:pPr>
              <w:pStyle w:val="P1"/>
              <w:jc w:val="center"/>
              <w:rPr>
                <w:rStyle w:val="C3"/>
                <w:b w:val="1"/>
                <w:sz w:val="24"/>
              </w:rPr>
            </w:pPr>
            <w:r>
              <w:rPr>
                <w:rStyle w:val="C3"/>
                <w:b w:val="1"/>
                <w:sz w:val="24"/>
              </w:rPr>
              <w:t>Expte N°</w:t>
            </w:r>
          </w:p>
        </w:tc>
      </w:tr>
      <w:tr>
        <w:tblPrEx>
          <w:tblBorders>
            <w:top w:val="single" w:sz="4" w:space="0" w:shadow="0" w:frame="0"/>
            <w:left w:val="single" w:sz="4" w:space="0" w:shadow="0" w:frame="0"/>
            <w:bottom w:val="single" w:sz="4" w:space="0" w:shadow="0" w:frame="0"/>
            <w:right w:val="single" w:sz="4" w:space="0" w:shadow="0" w:frame="0"/>
            <w:insideH w:val="single" w:sz="4" w:space="0" w:shadow="0" w:frame="0"/>
            <w:insideV w:val="single" w:sz="4" w:space="0" w:shadow="0" w:frame="0"/>
          </w:tblBorders>
          <w:tblLayout w:type="fixed"/>
        </w:tblPrEx>
        <w:tc>
          <w:tcPr>
            <w:tcW w:w="3135" w:type="dxa"/>
          </w:tcPr>
          <w:p>
            <w:pPr>
              <w:pStyle w:val="P1"/>
              <w:jc w:val="center"/>
              <w:rPr>
                <w:rStyle w:val="C3"/>
                <w:sz w:val="24"/>
              </w:rPr>
            </w:pPr>
            <w:r>
              <w:rPr>
                <w:rStyle w:val="C3"/>
                <w:sz w:val="24"/>
              </w:rPr>
              <w:t>Díaz, Carlos Hugo y Funes, E.M.</w:t>
            </w:r>
          </w:p>
        </w:tc>
        <w:tc>
          <w:tcPr>
            <w:tcW w:w="3135" w:type="dxa"/>
          </w:tcPr>
          <w:p>
            <w:pPr>
              <w:pStyle w:val="P1"/>
              <w:jc w:val="center"/>
              <w:rPr>
                <w:rStyle w:val="C3"/>
                <w:sz w:val="24"/>
              </w:rPr>
            </w:pPr>
            <w:r>
              <w:rPr>
                <w:rStyle w:val="C3"/>
                <w:sz w:val="24"/>
              </w:rPr>
              <w:t>3-01-244-011-000</w:t>
            </w:r>
          </w:p>
        </w:tc>
        <w:tc>
          <w:tcPr>
            <w:tcW w:w="3135" w:type="dxa"/>
          </w:tcPr>
          <w:p>
            <w:pPr>
              <w:pStyle w:val="P1"/>
              <w:jc w:val="center"/>
              <w:rPr>
                <w:rStyle w:val="C3"/>
                <w:sz w:val="24"/>
              </w:rPr>
            </w:pPr>
            <w:r>
              <w:rPr>
                <w:rStyle w:val="C3"/>
                <w:sz w:val="24"/>
              </w:rPr>
              <w:t>648/I/04</w:t>
            </w:r>
          </w:p>
        </w:tc>
      </w:tr>
    </w:tbl>
    <w:p>
      <w:pPr>
        <w:pStyle w:val="P1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1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</w:t>
      </w:r>
      <w:r>
        <w:rPr>
          <w:rStyle w:val="C3"/>
          <w:b w:val="1"/>
          <w:sz w:val="24"/>
          <w:u w:val="single"/>
        </w:rPr>
        <w:t>5</w:t>
      </w:r>
      <w:r>
        <w:rPr>
          <w:rStyle w:val="C3"/>
          <w:b w:val="1"/>
          <w:sz w:val="24"/>
        </w:rPr>
        <w:t>:</w:t>
      </w:r>
      <w:r>
        <w:rPr>
          <w:rStyle w:val="C3"/>
          <w:b w:val="1"/>
          <w:sz w:val="24"/>
        </w:rPr>
        <w:t xml:space="preserve"> </w:t>
      </w:r>
      <w:r>
        <w:rPr>
          <w:rStyle w:val="C3"/>
          <w:b w:val="1"/>
          <w:sz w:val="24"/>
        </w:rPr>
        <w:t>PROTOCOLÍCESE</w:t>
      </w:r>
      <w:r>
        <w:rPr>
          <w:rStyle w:val="C3"/>
          <w:sz w:val="24"/>
        </w:rPr>
        <w:t>, comuníquese, publíquese en el Boletín Oficial de la Ciudad de Alta Gracia, transcríbase al Libro de Ordenanzas y archívese.</w:t>
      </w:r>
    </w:p>
    <w:p>
      <w:pPr>
        <w:pStyle w:val="P1"/>
        <w:jc w:val="both"/>
        <w:rPr>
          <w:rStyle w:val="C3"/>
          <w:sz w:val="24"/>
        </w:rPr>
      </w:pPr>
    </w:p>
    <w:p>
      <w:pPr>
        <w:pStyle w:val="P1"/>
        <w:jc w:val="both"/>
        <w:rPr>
          <w:rStyle w:val="C3"/>
          <w:sz w:val="24"/>
        </w:rPr>
      </w:pPr>
    </w:p>
    <w:p>
      <w:pPr>
        <w:pStyle w:val="P1"/>
        <w:jc w:val="both"/>
        <w:rPr>
          <w:rStyle w:val="C3"/>
          <w:b w:val="1"/>
          <w:sz w:val="24"/>
        </w:rPr>
      </w:pPr>
    </w:p>
    <w:p>
      <w:pPr>
        <w:pStyle w:val="P1"/>
        <w:jc w:val="both"/>
        <w:rPr>
          <w:rStyle w:val="C3"/>
          <w:b w:val="1"/>
          <w:sz w:val="24"/>
        </w:rPr>
      </w:pPr>
      <w:r>
        <w:rPr>
          <w:rStyle w:val="C3"/>
          <w:b w:val="1"/>
          <w:sz w:val="24"/>
        </w:rPr>
        <w:t>DADA EN LA SALA DE SESIONES DEL HONORABLE CONCEJO DELIBERANTE A LOS DIE</w:t>
      </w:r>
      <w:r>
        <w:rPr>
          <w:rStyle w:val="C3"/>
          <w:b w:val="1"/>
          <w:sz w:val="24"/>
        </w:rPr>
        <w:t xml:space="preserve">CISIETE </w:t>
      </w:r>
      <w:r>
        <w:rPr>
          <w:rStyle w:val="C3"/>
          <w:b w:val="1"/>
          <w:sz w:val="24"/>
        </w:rPr>
        <w:t>DÍAS DEL MES DE MARZO DEL AÑO DOS MIL CINCO.</w:t>
      </w:r>
    </w:p>
    <w:p>
      <w:pPr>
        <w:pStyle w:val="P1"/>
        <w:jc w:val="both"/>
        <w:rPr>
          <w:rStyle w:val="C3"/>
        </w:rPr>
      </w:pPr>
    </w:p>
    <w:sectPr>
      <w:type w:val="nextPage"/>
      <w:pgSz w:w="11907" w:h="16840" w:code="0"/>
      <w:pgMar w:left="1321" w:right="1321" w:top="1418" w:bottom="1418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exto sin formato"/>
    <w:basedOn w:val="P0"/>
    <w:next w:val="P1"/>
    <w:pPr/>
    <w:rPr>
      <w:rFonts w:ascii="Courier New" w:hAnsi="Courier New"/>
    </w:rPr>
  </w:style>
  <w:style w:type="paragraph" w:styleId="P2">
    <w:name w:val="Sangría 2 de t. independiente"/>
    <w:basedOn w:val="P0"/>
    <w:next w:val="P2"/>
    <w:pPr>
      <w:ind w:left="709"/>
      <w:jc w:val="both"/>
    </w:pPr>
    <w:rPr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2005-03-22T20:44:00Z</dcterms:created>
  <cp:lastModifiedBy>Ethan Puglia</cp:lastModifiedBy>
  <cp:lastPrinted>2005-03-29T17:21:00Z</cp:lastPrinted>
  <dcterms:modified xsi:type="dcterms:W3CDTF">2019-03-28T17:34:04Z</dcterms:modified>
  <cp:revision>10</cp:revision>
  <dc:title>1¾   «        M</dc:title>
</cp:coreProperties>
</file>