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253C6CC" Type="http://schemas.openxmlformats.org/officeDocument/2006/relationships/officeDocument" Target="/word/document.xml" /><Relationship Id="coreR253C6C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b w:val="1"/>
        </w:rPr>
      </w:pPr>
    </w:p>
    <w:p>
      <w:pPr>
        <w:jc w:val="center"/>
        <w:rPr>
          <w:rStyle w:val="C3"/>
          <w:rFonts w:ascii="Courier New" w:hAnsi="Courier New"/>
          <w:u w:val="single"/>
        </w:rPr>
      </w:pPr>
      <w:r>
        <w:rPr>
          <w:rStyle w:val="C3"/>
          <w:rFonts w:ascii="Courier New" w:hAnsi="Courier New"/>
          <w:u w:val="single"/>
        </w:rPr>
        <w:t>ORDENANZA N° 7184</w:t>
      </w:r>
    </w:p>
    <w:p>
      <w:pPr>
        <w:jc w:val="center"/>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 xml:space="preserve">Visto: La Ordenanza Nº 7150; y </w:t>
      </w:r>
    </w:p>
    <w:p>
      <w:pPr>
        <w:ind w:hanging="709" w:left="709"/>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center"/>
        <w:rPr>
          <w:rStyle w:val="C3"/>
          <w:rFonts w:ascii="Courier New" w:hAnsi="Courier New"/>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Ordenanza Nº 7150 autorizaba al Departamento Ejecutivo a percibir por parte de aquellos contribuyentes que cancelan la totalidad de la deuda hasta el período </w:t>
      </w:r>
      <w:r>
        <w:rPr>
          <w:rStyle w:val="C3"/>
          <w:rFonts w:ascii="Courier New" w:hAnsi="Courier New"/>
          <w:b w:val="0"/>
          <w:u w:val="single"/>
        </w:rPr>
        <w:t>diciembre de 2003</w:t>
      </w:r>
      <w:r>
        <w:rPr>
          <w:rStyle w:val="C3"/>
          <w:rFonts w:ascii="Courier New" w:hAnsi="Courier New"/>
          <w:b w:val="0"/>
        </w:rPr>
        <w:t>, a valores históricos o mediante un plan especial de cancelación;</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los beneficios de estas normas se extienden hasta el día 31 de marzo de 2005, conforme lo establece la Ordenanza Nº 7150;</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se hace necesario fijar un nuevo plazo para los beneficios otorgados por estas Ordenanzas;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extensión del plazo de vigencia de estas formas de pago tienen por objeto permitir a un gran número de contribuyentes la posibilidad de que durante la vigencia de la presente, puedan adecuar sus ingresos y así acceder a </w:t>
      </w:r>
      <w:r>
        <w:rPr>
          <w:rStyle w:val="C3"/>
          <w:rFonts w:ascii="Courier New" w:hAnsi="Courier New"/>
          <w:b w:val="0"/>
          <w:u w:val="single"/>
        </w:rPr>
        <w:t>“regularizar totalmente”</w:t>
      </w:r>
      <w:r>
        <w:rPr>
          <w:rStyle w:val="C3"/>
          <w:rFonts w:ascii="Courier New" w:hAnsi="Courier New"/>
          <w:b w:val="0"/>
        </w:rPr>
        <w:t xml:space="preserve"> su situación, la cual a valores actualizados en la mayoría de los casos se torna muy improbable;</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no obstante la posibilidad de cancelar a valores históricos (reducción del 100% de los intereses), se hace necesario contemplar a aquellos contribuyentes que no pueden abonar la totalidad de la deuda en un solo pago, para lo cual es posible considerar una reducción del 50% en los intereses para los que abonen en 3 cuotas y una reducción del 30% hasta 6 cuotas;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si bien los beneficios de esta norma se prorrogan en el tiempo, el requisito de tener abonados los períodos 2004 y 2005 al momento de solicitar el beneficio, determina que la misma no sea inequitativa, al exigir el ingreso de valores actualizados de dichos períodos en el momento de regularizar la deuda,  en el </w:t>
      </w: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...///2.-</w:t>
      </w:r>
    </w:p>
    <w:p>
      <w:pPr>
        <w:ind w:hanging="709"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caso en que el contribuyente no los tuviere abonados, colocándolo en igual situación y no obteniendo mayores beneficios que aquellos que regularizaron en meses anteriores;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 diferencia de otros municipios (Ciudad de Córdoba) que han determinado ampliar los plazos en los Planes de Regularización para el recupero de deuda atrasada, en nuestro caso en particular, la experiencia nos indica que esta posibilidad sólo ha servido para extender el problema en el tiempo, por lo que entendemos más sano y adecuado, si bien con quita, pero percibiendo de contado y la totalidad de las deudas vencidas;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con cada deuda que se cancela totalmente, también se facilita la tarea administrativa y el seguimiento de las deudas se torna más ágil y frecuente;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con esta herramienta se continúa manteniendo los altos niveles de recupero de deuda muy vencida en muchos casos prescripta;</w:t>
      </w:r>
    </w:p>
    <w:p>
      <w:pPr>
        <w:ind w:left="709"/>
        <w:jc w:val="both"/>
        <w:rPr>
          <w:rStyle w:val="C3"/>
          <w:rFonts w:ascii="Courier New" w:hAnsi="Courier New"/>
          <w:b w:val="1"/>
        </w:rPr>
      </w:pPr>
    </w:p>
    <w:p>
      <w:pPr>
        <w:pStyle w:val="P9"/>
      </w:pPr>
      <w:r>
        <w:t>Que considerando lo expuesto en el punto anterior, surge la necesidad de excluir de los beneficios de estas normas a las deudas que se encuentren en proceso judicial en los casos en que las causas se encuentren en instancia de ejecución de sentencia con Anotación Preventiva de Subasta;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Proyecto de Ordenanza por la totalidad de Concejales presentes en Sesión Ordinaria de fecha 23 de marzo de 2005, se decide por unanimidad dar aprobación al mismo.</w:t>
      </w:r>
    </w:p>
    <w:p>
      <w:pPr>
        <w:ind w:left="709"/>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p>
    <w:p>
      <w:pPr>
        <w:pStyle w:val="P1"/>
        <w:ind w:left="709"/>
        <w:rPr>
          <w:rStyle w:val="C3"/>
          <w:rFonts w:ascii="Courier New" w:hAnsi="Courier New"/>
        </w:rPr>
      </w:pPr>
      <w:r>
        <w:rPr>
          <w:rStyle w:val="C3"/>
          <w:rFonts w:ascii="Courier New" w:hAnsi="Courier New"/>
        </w:rPr>
        <w:t>EL HONORABLE CONCEJO DELIBERANTE DE LA CIUDAD DE</w:t>
      </w:r>
    </w:p>
    <w:p>
      <w:pPr>
        <w:jc w:val="center"/>
        <w:rPr>
          <w:rStyle w:val="C3"/>
          <w:rFonts w:ascii="Courier New" w:hAnsi="Courier New"/>
        </w:rPr>
      </w:pPr>
    </w:p>
    <w:p>
      <w:pPr>
        <w:jc w:val="center"/>
        <w:rPr>
          <w:rStyle w:val="C3"/>
          <w:rFonts w:ascii="Courier New" w:hAnsi="Courier New"/>
        </w:rPr>
      </w:pPr>
    </w:p>
    <w:p>
      <w:pPr>
        <w:pStyle w:val="P4"/>
      </w:pPr>
      <w:r>
        <w:t>ALTA GRACIA SANCIONA CON FUERZA DE ORDENANZA</w:t>
      </w: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...///3.-</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rPr>
        <w:t>:</w:t>
      </w:r>
      <w:r>
        <w:rPr>
          <w:rStyle w:val="C3"/>
          <w:rFonts w:ascii="Courier New" w:hAnsi="Courier New"/>
          <w:b w:val="0"/>
        </w:rPr>
        <w:t xml:space="preserve"> </w:t>
      </w:r>
      <w:r>
        <w:rPr>
          <w:rStyle w:val="C3"/>
          <w:rFonts w:ascii="Courier New" w:hAnsi="Courier New"/>
        </w:rPr>
        <w:t>PRORRÓGANSE</w:t>
      </w:r>
      <w:r>
        <w:rPr>
          <w:rStyle w:val="C3"/>
          <w:rFonts w:ascii="Courier New" w:hAnsi="Courier New"/>
          <w:b w:val="0"/>
        </w:rPr>
        <w:t xml:space="preserve"> los beneficios otorgados a través de Ordenanza Nº 7150 hasta el día 29 de julio de 2005.</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 xml:space="preserve">: EXCLÚYANSE </w:t>
      </w:r>
      <w:r>
        <w:rPr>
          <w:rStyle w:val="C3"/>
          <w:rFonts w:ascii="Courier New" w:hAnsi="Courier New"/>
          <w:b w:val="0"/>
        </w:rPr>
        <w:t xml:space="preserve">las deudas que se encuentren en proceso judicial en los casos en que la causa se encuentre en instancia de ejecución de sentencia con Anotación Preventiva de Subasta. </w:t>
      </w:r>
    </w:p>
    <w:p>
      <w:pPr>
        <w:jc w:val="both"/>
        <w:rPr>
          <w:rStyle w:val="C3"/>
          <w:rFonts w:ascii="Courier New" w:hAnsi="Courier New"/>
          <w:b w:val="1"/>
        </w:rPr>
      </w:pPr>
    </w:p>
    <w:p>
      <w:pPr>
        <w:pStyle w:val="P8"/>
        <w:ind w:hanging="709" w:left="709"/>
        <w:jc w:val="both"/>
        <w:rPr>
          <w:rStyle w:val="C3"/>
          <w:sz w:val="24"/>
        </w:rPr>
      </w:pPr>
      <w:r>
        <w:rPr>
          <w:rStyle w:val="C3"/>
          <w:b w:val="1"/>
          <w:sz w:val="24"/>
          <w:u w:val="single"/>
        </w:rPr>
        <w:t>Art.3</w:t>
      </w:r>
      <w:r>
        <w:rPr>
          <w:rStyle w:val="C3"/>
          <w:b w:val="1"/>
          <w:sz w:val="24"/>
        </w:rPr>
        <w:t>:</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8"/>
        <w:jc w:val="both"/>
        <w:rPr>
          <w:rStyle w:val="C3"/>
          <w:b w:val="1"/>
          <w:sz w:val="24"/>
        </w:rPr>
      </w:pPr>
      <w:r>
        <w:rPr>
          <w:rStyle w:val="C3"/>
          <w:b w:val="1"/>
          <w:sz w:val="24"/>
        </w:rPr>
        <w:t>DADA EN LA SALA DE SESIONES DEL HONORABLE CONCEJO DELIBERANTE A LOS VEINTITRES DÍAS DEL MES DE MARZO DEL AÑO DOS MIL CINCO.</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sectPr>
      <w:footerReference xmlns:r="http://schemas.openxmlformats.org/officeDocument/2006/relationships" w:type="default" r:id="RelFtr1"/>
      <w:footerReference xmlns:r="http://schemas.openxmlformats.org/officeDocument/2006/relationships" w:type="even" r:id="RelFtr2"/>
      <w:type w:val="nextPage"/>
      <w:pgSz w:w="11906" w:h="16838" w:code="0"/>
      <w:pgMar w:left="1701" w:right="1701" w:top="1418"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ind w:right="360"/>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framePr w:wrap="around" w:vAnchor="text" w:hAnchor="margin" w:x="-8" w:y="1"/>
      <w:rPr>
        <w:rStyle w:val="C4"/>
      </w:rPr>
    </w:pPr>
    <w:r>
      <w:fldChar w:fldCharType="begin"/>
    </w:r>
    <w:r>
      <w:rPr>
        <w:rStyle w:val="C4"/>
      </w:rPr>
      <w:instrText xml:space="preserve">PÁGINA  </w:instrText>
    </w:r>
    <w:r>
      <w:rPr>
        <w:rStyle w:val="C4"/>
      </w:rPr>
      <w:fldChar w:fldCharType="separate"/>
    </w:r>
    <w:r>
      <w:rPr>
        <w:rStyle w:val="C4"/>
      </w:rPr>
      <w:fldChar w:fldCharType="end"/>
    </w:r>
  </w:p>
  <w:p>
    <w:pPr>
      <w:pStyle w:val="P6"/>
      <w:ind w:right="360"/>
      <w:rPr>
        <w:rStyle w:val="C4"/>
      </w:rPr>
    </w:pPr>
  </w:p>
</w:ft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style>
  <w:style w:type="paragraph" w:styleId="P2">
    <w:name w:val="Título 2"/>
    <w:basedOn w:val="P0"/>
    <w:next w:val="P0"/>
    <w:pPr>
      <w:keepNext w:val="1"/>
      <w:jc w:val="center"/>
      <w:outlineLvl w:val="1"/>
    </w:pPr>
    <w:rPr>
      <w:sz w:val="28"/>
    </w:rPr>
  </w:style>
  <w:style w:type="paragraph" w:styleId="P3">
    <w:name w:val="Título 3"/>
    <w:basedOn w:val="P0"/>
    <w:next w:val="P0"/>
    <w:pPr>
      <w:keepNext w:val="1"/>
      <w:jc w:val="both"/>
      <w:outlineLvl w:val="2"/>
    </w:pPr>
    <w:rPr>
      <w:sz w:val="28"/>
    </w:rPr>
  </w:style>
  <w:style w:type="paragraph" w:styleId="P4">
    <w:name w:val="Título 4"/>
    <w:basedOn w:val="P0"/>
    <w:next w:val="P0"/>
    <w:pPr>
      <w:keepNext w:val="1"/>
      <w:ind w:left="709"/>
      <w:jc w:val="center"/>
      <w:outlineLvl w:val="3"/>
    </w:pPr>
    <w:rPr>
      <w:rFonts w:ascii="Courier New" w:hAnsi="Courier New"/>
    </w:rPr>
  </w:style>
  <w:style w:type="paragraph" w:styleId="P5">
    <w:name w:val="Texto independiente"/>
    <w:basedOn w:val="P0"/>
    <w:next w:val="P5"/>
    <w:pPr>
      <w:tabs>
        <w:tab w:val="left" w:pos="6521" w:leader="none"/>
      </w:tabs>
    </w:pPr>
    <w:rPr>
      <w:sz w:val="28"/>
    </w:rPr>
  </w:style>
  <w:style w:type="paragraph" w:styleId="P6">
    <w:name w:val="Pie de página"/>
    <w:basedOn w:val="P0"/>
    <w:next w:val="P6"/>
    <w:pPr>
      <w:tabs>
        <w:tab w:val="center" w:pos="4252" w:leader="none"/>
        <w:tab w:val="right" w:pos="8504" w:leader="none"/>
      </w:tabs>
    </w:pPr>
    <w:rPr/>
  </w:style>
  <w:style w:type="paragraph" w:styleId="P7">
    <w:name w:val="Encabezado"/>
    <w:basedOn w:val="P0"/>
    <w:next w:val="P7"/>
    <w:pPr>
      <w:tabs>
        <w:tab w:val="center" w:pos="4419" w:leader="none"/>
        <w:tab w:val="right" w:pos="8838" w:leader="none"/>
      </w:tabs>
    </w:pPr>
    <w:rPr/>
  </w:style>
  <w:style w:type="paragraph" w:styleId="P8">
    <w:name w:val="Texto sin formato"/>
    <w:basedOn w:val="P0"/>
    <w:next w:val="P8"/>
    <w:pPr/>
    <w:rPr>
      <w:rFonts w:ascii="Courier New" w:hAnsi="Courier New"/>
      <w:b w:val="0"/>
      <w:color w:val="auto"/>
      <w:sz w:val="20"/>
    </w:rPr>
  </w:style>
  <w:style w:type="paragraph" w:styleId="P9">
    <w:name w:val="Sangría de t. independiente"/>
    <w:basedOn w:val="P0"/>
    <w:next w:val="P9"/>
    <w:pPr>
      <w:ind w:left="709"/>
      <w:jc w:val="both"/>
    </w:pPr>
    <w:rPr>
      <w:rFonts w:ascii="Courier New" w:hAnsi="Courier New"/>
      <w:b w:val="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2005-03-29T18:22:00Z</dcterms:created>
  <cp:lastModifiedBy>Ethan Puglia</cp:lastModifiedBy>
  <cp:lastPrinted>2005-04-04T15:29:00Z</cp:lastPrinted>
  <dcterms:modified xsi:type="dcterms:W3CDTF">2019-03-28T17:34:04Z</dcterms:modified>
  <cp:revision>10</cp:revision>
  <dc:title>VISTO La la radicación de establecimientos  ganaderos destinados a la cría, engorde u hospedaje de animales vacunos y u otras especies; y </dc:title>
</cp:coreProperties>
</file>