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DCED149" Type="http://schemas.openxmlformats.org/officeDocument/2006/relationships/officeDocument" Target="/word/document.xml" /><Relationship Id="coreR5DCED14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71</w:t>
      </w:r>
      <w:r>
        <w:rPr>
          <w:rStyle w:val="C3"/>
          <w:b w:val="1"/>
          <w:sz w:val="24"/>
          <w:u w:val="single"/>
        </w:rPr>
        <w:t>8</w:t>
      </w:r>
      <w:r>
        <w:rPr>
          <w:rStyle w:val="C3"/>
          <w:b w:val="1"/>
          <w:sz w:val="24"/>
          <w:u w:val="single"/>
        </w:rPr>
        <w:t>7</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rPr>
      </w:pPr>
      <w:r>
        <w:rPr>
          <w:rStyle w:val="C3"/>
          <w:sz w:val="24"/>
        </w:rPr>
        <w:t xml:space="preserve">Visto: El Monumento “Torre del Reloj Público”; y </w:t>
      </w:r>
    </w:p>
    <w:p>
      <w:pPr>
        <w:pStyle w:val="P1"/>
        <w:ind w:left="2832"/>
        <w:rPr>
          <w:rStyle w:val="C3"/>
          <w:b w:val="1"/>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mismo fue erigido, en conmemoración del 350° Aniversario de la Merced de las Tierras de Alta Gracia, hecho acontecido en el año 1940;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la década del ’30 la Villa de Alta Gracia había adquirido una importancia indiscutible como centro veraniego, estación climatérica, objetivo del turismo nacional, centro industrial, agrícola y comercial;</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todo ello prestaba a la fecha de conmemoración una trascendencia innegable y la convertía en un acontecimiento digno de ser recordado con toda solemnidad;</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nada mejor para la oportunidad, construir un monumento, idea recogida con gran entusiasmo por las autoridades municipales y vecinos en general;</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monumento era una torre colonial, la que debido a su posición geográfica (esquina sur del Tajamar) armonizaría con la Iglesia y su claustro;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llevaría en la parte superior un reloj de cuatro esferas, coronado por un mástil donde se izaría la bandera en las grandes festividades y por la imagen de la Patrona de la Villa, la Virgen de las Mercedes;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todo ello expresaba el Doctor Juan Cafferata, quien era Diputado Nacional y convecino, en una carta dirigida a quien era Intendente Sr. Manuel Gaetani allá por 1933, cuando motorizaba la inquietud a los fines de su concreción;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el año 1937, el Intendente Molinari convoca a los vecinos más caracterizados a los fines de dejar constituida la comisión ejecutiva que tendría la misión de organización y dirección de la iniciativa del Dr. Cafferata;</w:t>
      </w:r>
    </w:p>
    <w:p>
      <w:pPr>
        <w:pStyle w:val="P2"/>
        <w:ind w:hanging="1"/>
        <w:jc w:val="right"/>
        <w:rPr>
          <w:rStyle w:val="C3"/>
          <w:rFonts w:ascii="Courier New" w:hAnsi="Courier New"/>
        </w:rPr>
      </w:pPr>
    </w:p>
    <w:p>
      <w:pPr>
        <w:pStyle w:val="P2"/>
        <w:ind w:hanging="1"/>
        <w:jc w:val="right"/>
        <w:rPr>
          <w:rStyle w:val="C3"/>
          <w:rFonts w:ascii="Courier New" w:hAnsi="Courier New"/>
        </w:rPr>
      </w:pPr>
      <w:r>
        <w:rPr>
          <w:rStyle w:val="C3"/>
          <w:rFonts w:ascii="Courier New" w:hAnsi="Courier New"/>
        </w:rPr>
        <w:t>...///</w:t>
      </w: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left"/>
        <w:rPr>
          <w:rStyle w:val="C3"/>
          <w:rFonts w:ascii="Courier New" w:hAnsi="Courier New"/>
        </w:rPr>
      </w:pPr>
    </w:p>
    <w:p>
      <w:pPr>
        <w:pStyle w:val="P2"/>
        <w:ind w:hanging="1"/>
        <w:rPr>
          <w:rStyle w:val="C3"/>
          <w:rFonts w:ascii="Courier New" w:hAnsi="Courier New"/>
        </w:rPr>
      </w:pPr>
      <w:r>
        <w:rPr>
          <w:rStyle w:val="C3"/>
          <w:rFonts w:ascii="Courier New" w:hAnsi="Courier New"/>
        </w:rPr>
        <w:t>...///2.-</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mencionado diputado logra un subsidio de Treinta mil pesos nacionales acordados por Ley de la Nación, los que se utilizarán para la concreción del Monumento que sería realizado según las características aconsejadas por el jurado que dictaminó en el concurso de proyecto y dentro del presupuesto que no exceda el importe del subsidio;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el año 1938 el Gobierno de la Provincia y a iniciativa del diputado Sr. Guillermo Almada, mediante la sanción de la Ley N° 3773, acuerda a la Municipalidad de Alta Gracia la autorización a que refiere el Art. 110 de la Ley Orgánica Municipal (N° 3373) la erección del Monumento recordatorio en el 350° aniversario de su fundación;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enero de 1939 comienza su construcción, la que finaliza en noviembre del mismo año, siendo ejecutada por el Ingeniero Gustavo Gómez Molina, el que contó con la valiosa colaboración de los arquitectos Mario Cima y Nélida Aspillicueta, quienes dirigieron la obra con gran esmero y dedicación;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dentro de sus particularidades, las cuatro figuras que integran la construcción, representan las distintas épocas de la vida de América Latina, reflejando a los distintos propulsores de nuestra civilización, al decir de los arquitectos proyectistas;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fueron ejecutadas por el escultor Troiano Troiani  y colocadas sobre pilastras de trece metros de la base, representando al natural, al conquistador, al misionero y al gaucho;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día 14 de Abril de 1940 quedó inaugurado oficialmente el Monumento con la presencia de autoridades provinciales, municipales y numerosa concurrencia;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se encuentra estratégicamente ubicado en el corazón del Área de Primer Orden, acompañando con su gallarda figura los monumentos jesuíticos declarados por la UNESCO “Patrimonio de la Humanidad”;</w:t>
      </w:r>
    </w:p>
    <w:p>
      <w:pPr>
        <w:pStyle w:val="P2"/>
        <w:ind w:hanging="1"/>
        <w:jc w:val="right"/>
        <w:rPr>
          <w:rStyle w:val="C3"/>
          <w:rFonts w:ascii="Courier New" w:hAnsi="Courier New"/>
        </w:rPr>
      </w:pPr>
      <w:r>
        <w:rPr>
          <w:rStyle w:val="C3"/>
          <w:rFonts w:ascii="Courier New" w:hAnsi="Courier New"/>
        </w:rPr>
        <w:t>...///</w:t>
      </w: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left"/>
        <w:rPr>
          <w:rStyle w:val="C3"/>
          <w:rFonts w:ascii="Courier New" w:hAnsi="Courier New"/>
        </w:rPr>
      </w:pPr>
      <w:r>
        <w:rPr>
          <w:rStyle w:val="C3"/>
          <w:rFonts w:ascii="Courier New" w:hAnsi="Courier New"/>
        </w:rPr>
        <w:t>...///3.-</w:t>
      </w:r>
    </w:p>
    <w:p>
      <w:pPr>
        <w:pStyle w:val="P2"/>
        <w:ind w:hanging="1"/>
        <w:jc w:val="left"/>
        <w:rPr>
          <w:rStyle w:val="C3"/>
          <w:rFonts w:ascii="Courier New" w:hAnsi="Courier New"/>
        </w:rPr>
      </w:pPr>
    </w:p>
    <w:p>
      <w:pPr>
        <w:pStyle w:val="P2"/>
        <w:ind w:hanging="1"/>
        <w:jc w:val="left"/>
        <w:rPr>
          <w:rStyle w:val="C3"/>
          <w:rFonts w:ascii="Courier New" w:hAnsi="Courier New"/>
        </w:rPr>
      </w:pPr>
    </w:p>
    <w:p>
      <w:pPr>
        <w:pStyle w:val="P2"/>
        <w:ind w:hanging="1"/>
        <w:rPr>
          <w:rStyle w:val="C3"/>
          <w:rFonts w:ascii="Courier New" w:hAnsi="Courier New"/>
        </w:rPr>
      </w:pPr>
      <w:r>
        <w:rPr>
          <w:rStyle w:val="C3"/>
          <w:rFonts w:ascii="Courier New" w:hAnsi="Courier New"/>
        </w:rPr>
        <w:t>Que diversos y numerosos son los recursos que posee la Ciudad siendo oportuno convertirlos en nuevos atractivos turísticos;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es imperioso revalorizar el Monumento “Torre del Reloj Público”, pues a través de ello se honra a quienes impulsaron su concreción;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su imponente figura es un punto de referencia tanto para los habitantes de la ciudad de Alta Gracia como para todos aquellos que visitan la misma;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la ciudad de Alta Gracia no cuenta con miradores de uso público aptos para contemplar las bondades del paisaje urbano y su magnífico entorno serrano;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día a día se ha ido incrementando la demanda de transeúntes que solicitan visitar la Torre y la contemporánea máquina del Reloj Público, construida oportunamente por expertas manos en la Ciudad de Córdoba;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merced a éstas y otras innumerables potencialidades y cualidades que dicho Monumento posee, es oportuno y conveniente incluir su figura en la oferta turística de la ciudad, realizando el ornato y respectiva adecuación interior para su posterior habilitación y disfrute del público en general;</w:t>
      </w:r>
    </w:p>
    <w:p>
      <w:pPr>
        <w:pStyle w:val="P2"/>
        <w:ind w:left="0"/>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Proyecto de Ordenanza, se emite despacho favorable aprobado con modificaciones  por unanimidad en Sesión Ordinaria de fecha 31 de marzo de 2005. </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both"/>
        <w:rPr>
          <w:rStyle w:val="C3"/>
          <w:b w:val="1"/>
          <w:sz w:val="24"/>
          <w:u w:val="single"/>
        </w:rPr>
      </w:pP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HABILÍTENSE</w:t>
      </w:r>
      <w:r>
        <w:rPr>
          <w:rStyle w:val="C3"/>
          <w:b w:val="1"/>
          <w:sz w:val="24"/>
        </w:rPr>
        <w:t xml:space="preserve"> </w:t>
      </w:r>
      <w:r>
        <w:rPr>
          <w:rStyle w:val="C3"/>
          <w:sz w:val="24"/>
        </w:rPr>
        <w:t xml:space="preserve">las instalaciones del Monumento “Torre del Reloj Público”, para la visita del público en general. </w:t>
      </w:r>
    </w:p>
    <w:p>
      <w:pPr>
        <w:pStyle w:val="P1"/>
        <w:ind w:hanging="709" w:left="709"/>
        <w:jc w:val="right"/>
        <w:rPr>
          <w:rStyle w:val="C3"/>
          <w:sz w:val="24"/>
        </w:rPr>
      </w:pPr>
      <w:r>
        <w:rPr>
          <w:rStyle w:val="C3"/>
          <w:sz w:val="24"/>
        </w:rPr>
        <w:t>...///</w:t>
      </w:r>
    </w:p>
    <w:p>
      <w:pPr>
        <w:pStyle w:val="P1"/>
        <w:ind w:hanging="709" w:left="709"/>
        <w:jc w:val="right"/>
        <w:rPr>
          <w:rStyle w:val="C3"/>
          <w:sz w:val="24"/>
        </w:rPr>
      </w:pPr>
    </w:p>
    <w:p>
      <w:pPr>
        <w:pStyle w:val="P1"/>
        <w:ind w:hanging="709" w:left="709"/>
        <w:jc w:val="right"/>
        <w:rPr>
          <w:rStyle w:val="C3"/>
          <w:sz w:val="24"/>
        </w:rPr>
      </w:pPr>
    </w:p>
    <w:p>
      <w:pPr>
        <w:pStyle w:val="P1"/>
        <w:ind w:hanging="709" w:left="709"/>
        <w:jc w:val="right"/>
        <w:rPr>
          <w:rStyle w:val="C3"/>
          <w:sz w:val="24"/>
        </w:rPr>
      </w:pPr>
    </w:p>
    <w:p>
      <w:pPr>
        <w:pStyle w:val="P1"/>
        <w:ind w:hanging="709" w:left="709"/>
        <w:rPr>
          <w:rStyle w:val="C3"/>
          <w:sz w:val="24"/>
        </w:rPr>
      </w:pPr>
      <w:r>
        <w:rPr>
          <w:rStyle w:val="C3"/>
          <w:sz w:val="24"/>
        </w:rPr>
        <w:t>...///4.-</w:t>
      </w:r>
    </w:p>
    <w:p>
      <w:pPr>
        <w:pStyle w:val="P1"/>
        <w:ind w:hanging="709" w:left="709"/>
        <w:rPr>
          <w:rStyle w:val="C3"/>
          <w:sz w:val="24"/>
        </w:rPr>
      </w:pPr>
    </w:p>
    <w:p>
      <w:pPr>
        <w:pStyle w:val="P1"/>
        <w:ind w:hanging="709" w:left="709"/>
        <w:rPr>
          <w:rStyle w:val="C3"/>
          <w:sz w:val="24"/>
        </w:rPr>
      </w:pPr>
    </w:p>
    <w:p>
      <w:pPr>
        <w:pStyle w:val="P1"/>
        <w:ind w:hanging="709" w:left="709"/>
        <w:jc w:val="both"/>
        <w:rPr>
          <w:rStyle w:val="C3"/>
          <w:sz w:val="24"/>
        </w:rPr>
      </w:pPr>
      <w:r>
        <w:rPr>
          <w:rStyle w:val="C3"/>
          <w:b w:val="1"/>
          <w:sz w:val="24"/>
          <w:u w:val="single"/>
        </w:rPr>
        <w:t>Art.2</w:t>
      </w:r>
      <w:r>
        <w:rPr>
          <w:rStyle w:val="C3"/>
          <w:b w:val="1"/>
          <w:sz w:val="24"/>
        </w:rPr>
        <w:t>: ADECU</w:t>
      </w:r>
      <w:r>
        <w:rPr>
          <w:rStyle w:val="C3"/>
          <w:b w:val="1"/>
          <w:sz w:val="24"/>
        </w:rPr>
        <w:t xml:space="preserve">ENSE Y ORNAMÉNTENSE </w:t>
      </w:r>
      <w:r>
        <w:rPr>
          <w:rStyle w:val="C3"/>
          <w:sz w:val="24"/>
        </w:rPr>
        <w:t>las instalaciones internas y externas del monumento “Torre del Reloj Público”, acondicionándolas conforme lo determinen las áreas técnicas correspondientes para el mejor aprovechamiento y utilización de quienes la visiten, cumplimentando con todas las medidas de seguridad vigentes en la materia.</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b w:val="1"/>
          <w:sz w:val="24"/>
        </w:rPr>
        <w:t>: AUTORÍCESE</w:t>
      </w:r>
      <w:r>
        <w:rPr>
          <w:rStyle w:val="C3"/>
          <w:b w:val="1"/>
          <w:sz w:val="24"/>
        </w:rPr>
        <w:t xml:space="preserve"> </w:t>
      </w:r>
      <w:r>
        <w:rPr>
          <w:rStyle w:val="C3"/>
          <w:sz w:val="24"/>
        </w:rPr>
        <w:t xml:space="preserve">al Departamento Ejecutivo Municipal a reglamentar el sistema de cobro de entradas, con un monto máximo de TRES PESOS ($3.-) por visitante. </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w:t>
      </w:r>
      <w:r>
        <w:rPr>
          <w:rStyle w:val="C3"/>
          <w:b w:val="1"/>
          <w:sz w:val="24"/>
          <w:u w:val="single"/>
        </w:rPr>
        <w:t>4</w:t>
      </w:r>
      <w:r>
        <w:rPr>
          <w:rStyle w:val="C3"/>
          <w:b w:val="1"/>
          <w:sz w:val="24"/>
        </w:rPr>
        <w:t>: PROTOCOLÍCESE</w:t>
      </w:r>
      <w:r>
        <w:rPr>
          <w:rStyle w:val="C3"/>
          <w:sz w:val="24"/>
        </w:rPr>
        <w:t>, comuníquese, publíquese en el Boletín Oficial de la Ciudad de Alta Gracia, transcríbase al Libro de Ordenanzas y archívese.</w:t>
      </w:r>
    </w:p>
    <w:p>
      <w:pPr>
        <w:pStyle w:val="P1"/>
        <w:ind w:hanging="709" w:left="709"/>
        <w:jc w:val="both"/>
        <w:rPr>
          <w:rStyle w:val="C3"/>
          <w:b w:val="1"/>
          <w:sz w:val="24"/>
          <w:u w:val="single"/>
        </w:rPr>
      </w:pPr>
    </w:p>
    <w:p>
      <w:pPr>
        <w:pStyle w:val="P1"/>
        <w:jc w:val="both"/>
        <w:rPr>
          <w:rStyle w:val="C3"/>
          <w:b w:val="1"/>
          <w:sz w:val="24"/>
        </w:rPr>
      </w:pPr>
    </w:p>
    <w:p>
      <w:pPr>
        <w:pStyle w:val="P1"/>
        <w:jc w:val="both"/>
        <w:rPr>
          <w:rStyle w:val="C3"/>
          <w:b w:val="1"/>
          <w:sz w:val="24"/>
        </w:rPr>
      </w:pPr>
      <w:r>
        <w:rPr>
          <w:rStyle w:val="C3"/>
          <w:b w:val="1"/>
          <w:sz w:val="24"/>
        </w:rPr>
        <w:t xml:space="preserve">DADA EN LA SALA DE SESIONES DEL HONORABLE CONCEJO DELIBERANTE A LOS </w:t>
      </w:r>
      <w:r>
        <w:rPr>
          <w:rStyle w:val="C3"/>
          <w:b w:val="1"/>
          <w:sz w:val="24"/>
        </w:rPr>
        <w:t>TREINTA Y UN</w:t>
      </w:r>
      <w:r>
        <w:rPr>
          <w:rStyle w:val="C3"/>
          <w:b w:val="1"/>
          <w:sz w:val="24"/>
        </w:rPr>
        <w:t xml:space="preserve"> DIAS DEL MES DE </w:t>
      </w:r>
      <w:r>
        <w:rPr>
          <w:rStyle w:val="C3"/>
          <w:b w:val="1"/>
          <w:sz w:val="24"/>
        </w:rPr>
        <w:t>MARZO</w:t>
      </w:r>
      <w:r>
        <w:rPr>
          <w:rStyle w:val="C3"/>
          <w:b w:val="1"/>
          <w:sz w:val="24"/>
        </w:rPr>
        <w:t xml:space="preserve"> DEL AÑO DOS MIL C</w:t>
      </w:r>
      <w:r>
        <w:rPr>
          <w:rStyle w:val="C3"/>
          <w:b w:val="1"/>
          <w:sz w:val="24"/>
        </w:rPr>
        <w:t>INCO</w:t>
      </w:r>
      <w:r>
        <w:rPr>
          <w:rStyle w:val="C3"/>
          <w:b w:val="1"/>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jc w:val="both"/>
        <w:rPr>
          <w:rStyle w:val="C3"/>
          <w:b w:val="1"/>
          <w:sz w:val="24"/>
          <w:u w:val="single"/>
        </w:rPr>
      </w:pPr>
    </w:p>
    <w:sectPr>
      <w:type w:val="nextPage"/>
      <w:pgSz w:w="11907" w:h="16840" w:code="0"/>
      <w:pgMar w:left="1701" w:right="1321" w:top="1418" w:bottom="1418" w:header="709" w:footer="709"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2005-04-01T13:44:00Z</dcterms:created>
  <cp:lastModifiedBy>Ethan Puglia</cp:lastModifiedBy>
  <cp:lastPrinted>2005-04-04T14:33:00Z</cp:lastPrinted>
  <dcterms:modified xsi:type="dcterms:W3CDTF">2019-03-28T17:34:04Z</dcterms:modified>
  <cp:revision>13</cp:revision>
  <dc:title>1¾   «        M</dc:title>
</cp:coreProperties>
</file>