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4C95331" Type="http://schemas.openxmlformats.org/officeDocument/2006/relationships/officeDocument" Target="/word/document.xml" /><Relationship Id="coreR74C9533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sz w:val="24"/>
        </w:rPr>
      </w:pPr>
    </w:p>
    <w:p>
      <w:pPr>
        <w:pStyle w:val="P1"/>
        <w:rPr>
          <w:rStyle w:val="C3"/>
          <w:b w:val="1"/>
          <w:u w:val="single"/>
        </w:rPr>
      </w:pPr>
      <w:r>
        <w:rPr>
          <w:rStyle w:val="C3"/>
          <w:b w:val="1"/>
          <w:u w:val="single"/>
        </w:rPr>
        <w:t>ORDENANZA Nº7189</w:t>
      </w: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pStyle w:val="P6"/>
      </w:pPr>
      <w:r>
        <w:t xml:space="preserve">Visto: El Expediente Nº 1835/02 y la Ordenanza Nº 7037 sancionada en setiembre de 2004; y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2"/>
      </w:pPr>
      <w:r>
        <w:t>C O N S I D E R A N D O</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dicho expediente ya fue tratado por esta Comisión;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la Dirección de Ingresos Públicos solicitó oportunamente una Ordenanza que facultase a la misma realizar Plan de Pagos por la deuda que posee la designación catastral 4-01-101-017-000;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dicha Ordenanza es la Nº 7037 en la que se ordena realizar Plan de Pagos por la deuda que posee con el Municipio en concepto de Tasa por Servicios a la Propiedad dicha designación catastral;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en la misma Ordenanza en su Art.2 se otorga el beneficio de la Ordenanza Nº 5485, Art.3 fijando una cuota mensual de TRES PESOS ($3.-) por el mismo concepto a partir de la promulgación de dicha Ordenanza;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a fs.28 Dirección de Ingresos Públicos sugiere rectificar el Art.2 de la Ordenanza Nº 7037 porque no expresa hasta qué fecha es otorgado dicho beneficio;</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analizado el contenido del Expediente por los miembros de la Comisión de Hacienda de este Honorable Cuerpo, la cual emite despacho favorable aprobado por unanimidad en Sesión Ordinaria de fecha 31 de marzo de 2005.</w:t>
      </w:r>
    </w:p>
    <w:p>
      <w:pPr>
        <w:ind w:left="567"/>
        <w:jc w:val="both"/>
        <w:rPr>
          <w:rStyle w:val="C3"/>
          <w:rFonts w:ascii="Courier New" w:hAnsi="Courier New"/>
          <w:sz w:val="24"/>
        </w:rPr>
      </w:pPr>
    </w:p>
    <w:p>
      <w:pPr>
        <w:ind w:left="567"/>
        <w:jc w:val="both"/>
        <w:rPr>
          <w:rStyle w:val="C3"/>
          <w:rFonts w:ascii="Courier New" w:hAnsi="Courier New"/>
          <w:sz w:val="24"/>
        </w:rPr>
      </w:pPr>
    </w:p>
    <w:p>
      <w:pPr>
        <w:jc w:val="both"/>
        <w:rPr>
          <w:rStyle w:val="C3"/>
          <w:rFonts w:ascii="Courier New" w:hAnsi="Courier New"/>
          <w:sz w:val="24"/>
        </w:rPr>
      </w:pPr>
    </w:p>
    <w:p>
      <w:pPr>
        <w:pStyle w:val="P1"/>
        <w:ind w:left="709"/>
        <w:rPr>
          <w:rStyle w:val="C3"/>
          <w:b w:val="1"/>
        </w:rPr>
      </w:pPr>
      <w:r>
        <w:rPr>
          <w:rStyle w:val="C3"/>
          <w:b w:val="1"/>
        </w:rPr>
        <w:t>EL HONORABLE CONCEJO DELIBERANTE DE LA CIUDAD DE</w:t>
      </w:r>
    </w:p>
    <w:p>
      <w:pPr>
        <w:ind w:left="709"/>
        <w:jc w:val="both"/>
        <w:rPr>
          <w:rStyle w:val="C3"/>
          <w:rFonts w:ascii="Courier New" w:hAnsi="Courier New"/>
          <w:b w:val="1"/>
          <w:sz w:val="24"/>
        </w:rPr>
      </w:pPr>
    </w:p>
    <w:p>
      <w:pPr>
        <w:ind w:left="709"/>
        <w:jc w:val="both"/>
        <w:rPr>
          <w:rStyle w:val="C3"/>
          <w:rFonts w:ascii="Courier New" w:hAnsi="Courier New"/>
          <w:b w:val="1"/>
          <w:sz w:val="24"/>
        </w:rPr>
      </w:pPr>
    </w:p>
    <w:p>
      <w:pPr>
        <w:pStyle w:val="P1"/>
        <w:ind w:left="709"/>
        <w:rPr>
          <w:rStyle w:val="C3"/>
        </w:rPr>
      </w:pPr>
      <w:r>
        <w:rPr>
          <w:rStyle w:val="C3"/>
          <w:b w:val="1"/>
        </w:rPr>
        <w:t>ALTA GRACIA SANCIONA CON FUERZA DE ORDENANZA</w:t>
      </w:r>
    </w:p>
    <w:p>
      <w:pPr>
        <w:jc w:val="right"/>
        <w:rPr>
          <w:rStyle w:val="C3"/>
          <w:rFonts w:ascii="Courier New" w:hAnsi="Courier New"/>
          <w:sz w:val="24"/>
        </w:rPr>
      </w:pP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MODIFÍCASE</w:t>
      </w:r>
      <w:r>
        <w:rPr>
          <w:rStyle w:val="C3"/>
          <w:rFonts w:ascii="Courier New" w:hAnsi="Courier New"/>
          <w:sz w:val="24"/>
        </w:rPr>
        <w:t xml:space="preserve"> el Art.2 de la Ordenanza Nº 7037 el que quedará redactado de la siguiente forma:</w:t>
      </w:r>
    </w:p>
    <w:p>
      <w:pPr>
        <w:ind w:hanging="1" w:left="709"/>
        <w:jc w:val="both"/>
        <w:rPr>
          <w:rStyle w:val="C3"/>
          <w:rFonts w:ascii="Courier New" w:hAnsi="Courier New"/>
          <w:sz w:val="24"/>
        </w:rPr>
      </w:pPr>
      <w:r>
        <w:rPr>
          <w:rStyle w:val="C3"/>
          <w:rFonts w:ascii="Courier New" w:hAnsi="Courier New"/>
          <w:sz w:val="24"/>
        </w:rPr>
        <w:t xml:space="preserve">“Art.2: OTÓRGUESE el beneficio de la Ordenanza Nº 5485, Art. 3, fijando una cuota mensual de TRES PESOS ($3.-) en concepto de Tasa por Servicios a la Propiedad, respecto de la designación catastral 4-01-101-017-000, a partir de la promulgación de la presente hasta  diciembre de 2006 inclusive”.</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5"/>
      </w:pPr>
      <w:r>
        <w:t>DADA EN LA SALA DE SESIONES DEL HONORABLE CONCEJO DELIBERANTE A TREINTA Y UN DÍAS DEL MES DE MARZO DEL AÑO DOS MIL CINCO.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sz w:val="24"/>
    </w:rPr>
  </w:style>
  <w:style w:type="paragraph" w:styleId="P2">
    <w:name w:val="Título 2"/>
    <w:basedOn w:val="P0"/>
    <w:next w:val="P0"/>
    <w:pPr>
      <w:keepNext w:val="1"/>
      <w:jc w:val="center"/>
      <w:outlineLvl w:val="1"/>
    </w:pPr>
    <w:rPr>
      <w:rFonts w:ascii="Courier New" w:hAnsi="Courier New"/>
      <w:b w:val="1"/>
      <w:sz w:val="24"/>
    </w:rPr>
  </w:style>
  <w:style w:type="paragraph" w:styleId="P3">
    <w:name w:val="Texto sin formato"/>
    <w:basedOn w:val="P0"/>
    <w:next w:val="P3"/>
    <w:pPr/>
    <w:rPr>
      <w:rFonts w:ascii="Courier New" w:hAnsi="Courier New"/>
    </w:rPr>
  </w:style>
  <w:style w:type="paragraph" w:styleId="P4">
    <w:name w:val="Sangría 2 de t. independiente"/>
    <w:basedOn w:val="P0"/>
    <w:next w:val="P4"/>
    <w:pPr>
      <w:ind w:left="709"/>
      <w:jc w:val="both"/>
    </w:pPr>
    <w:rPr>
      <w:sz w:val="24"/>
    </w:rPr>
  </w:style>
  <w:style w:type="paragraph" w:styleId="P5">
    <w:name w:val="Texto independiente"/>
    <w:basedOn w:val="P0"/>
    <w:next w:val="P5"/>
    <w:pPr>
      <w:jc w:val="both"/>
    </w:pPr>
    <w:rPr>
      <w:rFonts w:ascii="Courier New" w:hAnsi="Courier New"/>
      <w:b w:val="1"/>
      <w:sz w:val="24"/>
    </w:rPr>
  </w:style>
  <w:style w:type="paragraph" w:styleId="P6">
    <w:name w:val="Sangría de texto normal"/>
    <w:basedOn w:val="P0"/>
    <w:next w:val="P6"/>
    <w:pPr>
      <w:ind w:hanging="709"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2005-06-27T16:09:00Z</dcterms:created>
  <cp:lastModifiedBy>Ethan Puglia</cp:lastModifiedBy>
  <cp:lastPrinted>2005-06-27T16:09:00Z</cp:lastPrinted>
  <dcterms:modified xsi:type="dcterms:W3CDTF">2019-03-28T17:34:04Z</dcterms:modified>
  <cp:revision>3</cp:revision>
  <dc:title>1¾   «        M</dc:title>
</cp:coreProperties>
</file>