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27366C5B" Type="http://schemas.openxmlformats.org/officeDocument/2006/relationships/officeDocument" Target="/word/document.xml" /><Relationship Id="coreR27366C5B"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
        <w:jc w:val="center"/>
        <w:rPr>
          <w:rStyle w:val="C3"/>
          <w:b w:val="1"/>
          <w:sz w:val="24"/>
          <w:u w:val="single"/>
        </w:rPr>
      </w:pPr>
    </w:p>
    <w:p>
      <w:pPr>
        <w:pStyle w:val="P1"/>
        <w:jc w:val="center"/>
        <w:rPr>
          <w:rStyle w:val="C3"/>
          <w:sz w:val="24"/>
        </w:rPr>
      </w:pPr>
      <w:r>
        <w:rPr>
          <w:rStyle w:val="C3"/>
          <w:b w:val="1"/>
          <w:sz w:val="24"/>
          <w:u w:val="single"/>
        </w:rPr>
        <w:t xml:space="preserve">ORDENANZA  Nº 71</w:t>
      </w:r>
      <w:r>
        <w:rPr>
          <w:rStyle w:val="C3"/>
          <w:b w:val="1"/>
          <w:sz w:val="24"/>
          <w:u w:val="single"/>
        </w:rPr>
        <w:t>92</w:t>
      </w: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b w:val="1"/>
          <w:sz w:val="24"/>
        </w:rPr>
      </w:pPr>
      <w:r>
        <w:rPr>
          <w:rStyle w:val="C3"/>
          <w:sz w:val="24"/>
        </w:rPr>
        <w:t xml:space="preserve">Visto: El predio ubicado en la esquina de Avenida Belgrano y calle Del Molino; y </w:t>
      </w:r>
    </w:p>
    <w:p>
      <w:pPr>
        <w:pStyle w:val="P1"/>
        <w:ind w:left="2832"/>
        <w:rPr>
          <w:rStyle w:val="C3"/>
          <w:b w:val="1"/>
          <w:sz w:val="24"/>
        </w:rPr>
      </w:pPr>
    </w:p>
    <w:p>
      <w:pPr>
        <w:pStyle w:val="P1"/>
        <w:ind w:left="2832"/>
        <w:rPr>
          <w:rStyle w:val="C3"/>
          <w:b w:val="1"/>
          <w:sz w:val="24"/>
        </w:rPr>
      </w:pPr>
      <w:r>
        <w:rPr>
          <w:rStyle w:val="C3"/>
          <w:b w:val="1"/>
          <w:sz w:val="24"/>
        </w:rPr>
        <w:t xml:space="preserve"> </w:t>
      </w:r>
    </w:p>
    <w:p>
      <w:pPr>
        <w:pStyle w:val="P1"/>
        <w:ind w:left="2832"/>
        <w:rPr>
          <w:rStyle w:val="C3"/>
          <w:b w:val="1"/>
          <w:sz w:val="24"/>
        </w:rPr>
      </w:pPr>
      <w:r>
        <w:rPr>
          <w:rStyle w:val="C3"/>
          <w:b w:val="1"/>
          <w:sz w:val="24"/>
        </w:rPr>
        <w:t xml:space="preserve">  C O N S I D E R A N D O</w:t>
      </w:r>
    </w:p>
    <w:p>
      <w:pPr>
        <w:pStyle w:val="P2"/>
        <w:ind w:left="0"/>
        <w:rPr>
          <w:rStyle w:val="C3"/>
          <w:rFonts w:ascii="Courier New" w:hAnsi="Courier New"/>
        </w:rPr>
      </w:pPr>
    </w:p>
    <w:p>
      <w:pPr>
        <w:pStyle w:val="P2"/>
        <w:ind w:hanging="1"/>
        <w:rPr>
          <w:rStyle w:val="C3"/>
          <w:rFonts w:ascii="Courier New" w:hAnsi="Courier New"/>
        </w:rPr>
      </w:pPr>
    </w:p>
    <w:p>
      <w:pPr>
        <w:pStyle w:val="P2"/>
        <w:ind w:hanging="1"/>
        <w:rPr>
          <w:rStyle w:val="C3"/>
          <w:rFonts w:ascii="Courier New" w:hAnsi="Courier New"/>
        </w:rPr>
      </w:pPr>
      <w:r>
        <w:rPr>
          <w:rStyle w:val="C3"/>
          <w:rFonts w:ascii="Courier New" w:hAnsi="Courier New"/>
        </w:rPr>
        <w:t xml:space="preserve">Que el mencionado inmueble se encuentra dentro del Área de Protección de Primer Orden de la ciudad de Alta Gracia; </w:t>
      </w:r>
    </w:p>
    <w:p>
      <w:pPr>
        <w:pStyle w:val="P2"/>
        <w:ind w:hanging="1"/>
        <w:rPr>
          <w:rStyle w:val="C3"/>
          <w:rFonts w:ascii="Courier New" w:hAnsi="Courier New"/>
        </w:rPr>
      </w:pPr>
    </w:p>
    <w:p>
      <w:pPr>
        <w:pStyle w:val="P2"/>
        <w:ind w:hanging="1"/>
        <w:rPr>
          <w:rStyle w:val="C3"/>
          <w:rFonts w:ascii="Courier New" w:hAnsi="Courier New"/>
        </w:rPr>
      </w:pPr>
      <w:r>
        <w:rPr>
          <w:rStyle w:val="C3"/>
          <w:rFonts w:ascii="Courier New" w:hAnsi="Courier New"/>
        </w:rPr>
        <w:t>Que es propiedad del Banco de la Nación Argentina desde 1973, sin que se haya ejecutado obra alguna en el mismo por parte de dicha entidad;</w:t>
      </w:r>
    </w:p>
    <w:p>
      <w:pPr>
        <w:pStyle w:val="P2"/>
        <w:ind w:hanging="1"/>
        <w:rPr>
          <w:rStyle w:val="C3"/>
          <w:rFonts w:ascii="Courier New" w:hAnsi="Courier New"/>
        </w:rPr>
      </w:pPr>
    </w:p>
    <w:p>
      <w:pPr>
        <w:pStyle w:val="P2"/>
        <w:ind w:hanging="1"/>
        <w:rPr>
          <w:rStyle w:val="C3"/>
          <w:rFonts w:ascii="Courier New" w:hAnsi="Courier New"/>
        </w:rPr>
      </w:pPr>
      <w:r>
        <w:rPr>
          <w:rStyle w:val="C3"/>
          <w:rFonts w:ascii="Courier New" w:hAnsi="Courier New"/>
        </w:rPr>
        <w:t>Que ha sido impuesto por los organismos internacionales que fiscalizan las condiciones patrimoniales urbanísticas de la ciudad, crear una zona de espacios públicos donde se sitúe el Área de Interpretación del sistema jesuítico en la Provincia de Córdoba y en Alta Gracia, cuya ubicación necesariamente debe estar en directa vinculación física y visual con los bienes de la estancia local, es decir la Residencia, la Iglesia, el Obraje, el Tajamar y el Molino Hidráulico;</w:t>
      </w:r>
    </w:p>
    <w:p>
      <w:pPr>
        <w:pStyle w:val="P2"/>
        <w:ind w:hanging="1"/>
        <w:rPr>
          <w:rStyle w:val="C3"/>
          <w:rFonts w:ascii="Courier New" w:hAnsi="Courier New"/>
        </w:rPr>
      </w:pPr>
    </w:p>
    <w:p>
      <w:pPr>
        <w:pStyle w:val="P2"/>
        <w:ind w:hanging="1"/>
        <w:rPr>
          <w:rStyle w:val="C3"/>
          <w:rFonts w:ascii="Courier New" w:hAnsi="Courier New"/>
        </w:rPr>
      </w:pPr>
      <w:r>
        <w:rPr>
          <w:rStyle w:val="C3"/>
          <w:rFonts w:ascii="Courier New" w:hAnsi="Courier New"/>
        </w:rPr>
        <w:t>Que el conjunto de la Estancia Jesuítica de Alta Gracia ha sido declarado Monumento Histórico Nacional mediante Decreto N° 90732/41 de acuerdo a lo establecido por la Ley N° 12665/40, que crea la Comisión Nacional de Museos y de Monumentos y Lugares Históricos;</w:t>
      </w:r>
    </w:p>
    <w:p>
      <w:pPr>
        <w:pStyle w:val="P2"/>
        <w:ind w:hanging="1"/>
        <w:rPr>
          <w:rStyle w:val="C3"/>
          <w:rFonts w:ascii="Courier New" w:hAnsi="Courier New"/>
        </w:rPr>
      </w:pPr>
    </w:p>
    <w:p>
      <w:pPr>
        <w:pStyle w:val="P2"/>
        <w:ind w:hanging="1"/>
        <w:rPr>
          <w:rStyle w:val="C3"/>
          <w:rFonts w:ascii="Courier New" w:hAnsi="Courier New"/>
        </w:rPr>
      </w:pPr>
      <w:r>
        <w:rPr>
          <w:rStyle w:val="C3"/>
          <w:rFonts w:ascii="Courier New" w:hAnsi="Courier New"/>
        </w:rPr>
        <w:t>Que el mismo conjunto y las demás estancias que los jesuitas construyeron en la Provincia de Córdoba han sido reconocidas como Patrimonio Cultural de la Humanidad por la UNESCO en el año 2000 por su valor cultural universal y excepcional, siguiendo los principios de la Convención sobre la Protección del Patrimonio Mundial, Natural y Cultural de UNESCO de 1972, ratificada por la República Argentina por Ley Nacional N° 21835/78, la que tiene por tanto, rango constitucional conforme las disposiciones del artículo 75 inciso 22 de la Constitución de la Nación Argentina;</w:t>
      </w:r>
    </w:p>
    <w:p>
      <w:pPr>
        <w:pStyle w:val="P2"/>
        <w:ind w:hanging="1"/>
        <w:rPr>
          <w:rStyle w:val="C3"/>
          <w:rFonts w:ascii="Courier New" w:hAnsi="Courier New"/>
        </w:rPr>
      </w:pPr>
    </w:p>
    <w:p>
      <w:pPr>
        <w:pStyle w:val="P2"/>
        <w:ind w:hanging="1"/>
        <w:rPr>
          <w:rStyle w:val="C3"/>
          <w:rFonts w:ascii="Courier New" w:hAnsi="Courier New"/>
        </w:rPr>
      </w:pPr>
      <w:r>
        <w:rPr>
          <w:rStyle w:val="C3"/>
          <w:rFonts w:ascii="Courier New" w:hAnsi="Courier New"/>
        </w:rPr>
        <w:t xml:space="preserve">Que la Municipalidad de Alta Gracia también ha reconocido  el valor cultural  de  dichos bienes para la </w:t>
      </w:r>
    </w:p>
    <w:p>
      <w:pPr>
        <w:pStyle w:val="P2"/>
        <w:ind w:hanging="1"/>
        <w:jc w:val="right"/>
        <w:rPr>
          <w:rStyle w:val="C3"/>
          <w:rFonts w:ascii="Courier New" w:hAnsi="Courier New"/>
        </w:rPr>
      </w:pPr>
      <w:r>
        <w:rPr>
          <w:rStyle w:val="C3"/>
          <w:rFonts w:ascii="Courier New" w:hAnsi="Courier New"/>
        </w:rPr>
        <w:t>...///</w:t>
      </w:r>
    </w:p>
    <w:p>
      <w:pPr>
        <w:pStyle w:val="P2"/>
        <w:ind w:hanging="1"/>
        <w:rPr>
          <w:rStyle w:val="C3"/>
          <w:rFonts w:ascii="Courier New" w:hAnsi="Courier New"/>
        </w:rPr>
      </w:pPr>
    </w:p>
    <w:p>
      <w:pPr>
        <w:pStyle w:val="P2"/>
        <w:ind w:hanging="1"/>
        <w:rPr>
          <w:rStyle w:val="C3"/>
          <w:rFonts w:ascii="Courier New" w:hAnsi="Courier New"/>
        </w:rPr>
      </w:pPr>
    </w:p>
    <w:p>
      <w:pPr>
        <w:pStyle w:val="P2"/>
        <w:ind w:hanging="1"/>
        <w:jc w:val="left"/>
        <w:rPr>
          <w:rStyle w:val="C3"/>
          <w:rFonts w:ascii="Courier New" w:hAnsi="Courier New"/>
        </w:rPr>
      </w:pPr>
      <w:r>
        <w:rPr>
          <w:rStyle w:val="C3"/>
          <w:rFonts w:ascii="Courier New" w:hAnsi="Courier New"/>
        </w:rPr>
        <w:t>...///2.-</w:t>
      </w:r>
    </w:p>
    <w:p>
      <w:pPr>
        <w:pStyle w:val="P2"/>
        <w:ind w:hanging="1"/>
        <w:jc w:val="left"/>
        <w:rPr>
          <w:rStyle w:val="C3"/>
          <w:rFonts w:ascii="Courier New" w:hAnsi="Courier New"/>
        </w:rPr>
      </w:pPr>
    </w:p>
    <w:p>
      <w:pPr>
        <w:pStyle w:val="P2"/>
        <w:ind w:hanging="1"/>
        <w:rPr>
          <w:rStyle w:val="C3"/>
          <w:rFonts w:ascii="Courier New" w:hAnsi="Courier New"/>
        </w:rPr>
      </w:pPr>
    </w:p>
    <w:p>
      <w:pPr>
        <w:pStyle w:val="P2"/>
        <w:ind w:hanging="1"/>
        <w:rPr>
          <w:rStyle w:val="C3"/>
          <w:rFonts w:ascii="Courier New" w:hAnsi="Courier New"/>
        </w:rPr>
      </w:pPr>
      <w:r>
        <w:rPr>
          <w:rStyle w:val="C3"/>
          <w:rFonts w:ascii="Courier New" w:hAnsi="Courier New"/>
        </w:rPr>
        <w:t>memoria de la comunidad local, y ha sancionado la Ordenanza N° 4368/99 de Bienes Culturales y Naturales del Municipio y la Ordenanza N° 4518/99, denominada Manual de Actuaciones en el Área de Primer Orden de la Ciudad de Alta Gracia, mediante las cuales se controla el entorno inmediato de los bienes declarados, - definido de acuerdo a las visuales directas al conjunto jesuítico-, en todos los aspectos arquitectónicos y urbanísticos, según lo recomiendan las Cartas Internacionales redactadas por el ICOMOS, (Consejo Internacional de Monumentos y Sitios), UNESCO;</w:t>
      </w:r>
    </w:p>
    <w:p>
      <w:pPr>
        <w:pStyle w:val="P2"/>
        <w:ind w:hanging="1"/>
        <w:rPr>
          <w:rStyle w:val="C3"/>
          <w:rFonts w:ascii="Courier New" w:hAnsi="Courier New"/>
        </w:rPr>
      </w:pPr>
    </w:p>
    <w:p>
      <w:pPr>
        <w:pStyle w:val="P2"/>
        <w:ind w:hanging="1"/>
        <w:rPr>
          <w:rStyle w:val="C3"/>
          <w:rFonts w:ascii="Courier New" w:hAnsi="Courier New"/>
        </w:rPr>
      </w:pPr>
      <w:r>
        <w:rPr>
          <w:rStyle w:val="C3"/>
          <w:rFonts w:ascii="Courier New" w:hAnsi="Courier New"/>
        </w:rPr>
        <w:t>Que al reconocer formalmente el valor cultural de estos bienes tanto la Nación como el Municipio, de acuerdo a lo establecido en esta legislación internacional, nacional y municipal, han contraído responsabilidades específicas en cuanto a su protección, conservación y gestión;</w:t>
      </w:r>
    </w:p>
    <w:p>
      <w:pPr>
        <w:pStyle w:val="P2"/>
        <w:ind w:hanging="1"/>
        <w:rPr>
          <w:rStyle w:val="C3"/>
          <w:rFonts w:ascii="Courier New" w:hAnsi="Courier New"/>
        </w:rPr>
      </w:pPr>
    </w:p>
    <w:p>
      <w:pPr>
        <w:pStyle w:val="P2"/>
        <w:ind w:hanging="1"/>
        <w:rPr>
          <w:rStyle w:val="C3"/>
          <w:rFonts w:ascii="Courier New" w:hAnsi="Courier New"/>
        </w:rPr>
      </w:pPr>
      <w:r>
        <w:rPr>
          <w:rStyle w:val="C3"/>
          <w:rFonts w:ascii="Courier New" w:hAnsi="Courier New"/>
        </w:rPr>
        <w:t>Que entre estas responsabilidades – que se rigen por los criterios científicos internacionales en vigencia-, deben destacarse:</w:t>
      </w:r>
    </w:p>
    <w:p>
      <w:pPr>
        <w:pStyle w:val="P2"/>
        <w:numPr>
          <w:ilvl w:val="0"/>
          <w:numId w:val="1"/>
        </w:numPr>
        <w:rPr>
          <w:rStyle w:val="C3"/>
          <w:rFonts w:ascii="Courier New" w:hAnsi="Courier New"/>
        </w:rPr>
      </w:pPr>
      <w:r>
        <w:rPr>
          <w:rStyle w:val="C3"/>
          <w:rFonts w:ascii="Courier New" w:hAnsi="Courier New"/>
        </w:rPr>
        <w:t>Que la “conservación de un monumento implica la de un marco a su escala” (Carta de Venecia, de 1964, Art. 5);</w:t>
      </w:r>
    </w:p>
    <w:p>
      <w:pPr>
        <w:pStyle w:val="P2"/>
        <w:numPr>
          <w:ilvl w:val="0"/>
          <w:numId w:val="1"/>
        </w:numPr>
        <w:rPr>
          <w:rStyle w:val="C3"/>
          <w:rFonts w:ascii="Courier New" w:hAnsi="Courier New"/>
        </w:rPr>
      </w:pPr>
      <w:r>
        <w:rPr>
          <w:rStyle w:val="C3"/>
          <w:rFonts w:ascii="Courier New" w:hAnsi="Courier New"/>
        </w:rPr>
        <w:t>Que la “adopción de una política general debe encaminarse a atribuir al patrimonio cultural y natural una función en la vida colectiva y a integrar la protección de ese patrimonio en los programas de planificación general” (Convención para la Protección del Patrimonio, París 1972, Art. 5);</w:t>
      </w:r>
    </w:p>
    <w:p>
      <w:pPr>
        <w:pStyle w:val="P2"/>
        <w:numPr>
          <w:ilvl w:val="0"/>
          <w:numId w:val="1"/>
        </w:numPr>
        <w:rPr>
          <w:rStyle w:val="C3"/>
          <w:rFonts w:ascii="Courier New" w:hAnsi="Courier New"/>
        </w:rPr>
      </w:pPr>
      <w:r>
        <w:rPr>
          <w:rStyle w:val="C3"/>
          <w:rFonts w:ascii="Courier New" w:hAnsi="Courier New"/>
        </w:rPr>
        <w:t>Que es un compromiso generar “medidas tendientes a mejorar la calidad del entorno de los monumentos y sitios” (Carta de Granada, Patrimonio Arquitectónico, 1985, Art. 7);</w:t>
      </w:r>
    </w:p>
    <w:p>
      <w:pPr>
        <w:pStyle w:val="P2"/>
        <w:numPr>
          <w:ilvl w:val="0"/>
          <w:numId w:val="1"/>
        </w:numPr>
        <w:rPr>
          <w:rStyle w:val="C3"/>
          <w:rFonts w:ascii="Courier New" w:hAnsi="Courier New"/>
        </w:rPr>
      </w:pPr>
      <w:r>
        <w:rPr>
          <w:rStyle w:val="C3"/>
          <w:rFonts w:ascii="Courier New" w:hAnsi="Courier New"/>
        </w:rPr>
        <w:t>Que la inserción de nuevas funciones “deben ser compatibles con el carácter, vocación y estructura de las poblaciones o áreas urbanas históricas” (Carta Internacional para la Conservación de Ciudades Históricas, 1987, Art. 8);</w:t>
      </w:r>
    </w:p>
    <w:p>
      <w:pPr>
        <w:pStyle w:val="P2"/>
        <w:numPr>
          <w:ilvl w:val="0"/>
          <w:numId w:val="1"/>
        </w:numPr>
        <w:rPr>
          <w:rStyle w:val="C3"/>
          <w:rFonts w:ascii="Courier New" w:hAnsi="Courier New"/>
        </w:rPr>
      </w:pPr>
      <w:r>
        <w:rPr>
          <w:rStyle w:val="C3"/>
          <w:rFonts w:ascii="Courier New" w:hAnsi="Courier New"/>
        </w:rPr>
        <w:t xml:space="preserve">Que “la política de gestión de un sitio debe basarse en la comprensión de su significación (valor) cultural”, entendiéndose en este marco a  la  “interpretación  como  todas  las  formas de </w:t>
      </w:r>
    </w:p>
    <w:p>
      <w:pPr>
        <w:pStyle w:val="P2"/>
        <w:jc w:val="right"/>
        <w:rPr>
          <w:rStyle w:val="C3"/>
          <w:rFonts w:ascii="Courier New" w:hAnsi="Courier New"/>
        </w:rPr>
      </w:pPr>
      <w:r>
        <w:rPr>
          <w:rStyle w:val="C3"/>
          <w:rFonts w:ascii="Courier New" w:hAnsi="Courier New"/>
        </w:rPr>
        <w:t>...///</w:t>
      </w:r>
    </w:p>
    <w:p>
      <w:pPr>
        <w:pStyle w:val="P2"/>
        <w:jc w:val="right"/>
        <w:rPr>
          <w:rStyle w:val="C3"/>
          <w:rFonts w:ascii="Courier New" w:hAnsi="Courier New"/>
        </w:rPr>
      </w:pPr>
    </w:p>
    <w:p>
      <w:pPr>
        <w:pStyle w:val="P2"/>
        <w:jc w:val="right"/>
        <w:rPr>
          <w:rStyle w:val="C3"/>
          <w:rFonts w:ascii="Courier New" w:hAnsi="Courier New"/>
        </w:rPr>
      </w:pPr>
    </w:p>
    <w:p>
      <w:pPr>
        <w:pStyle w:val="P2"/>
        <w:jc w:val="left"/>
        <w:rPr>
          <w:rStyle w:val="C3"/>
          <w:rFonts w:ascii="Courier New" w:hAnsi="Courier New"/>
        </w:rPr>
      </w:pPr>
    </w:p>
    <w:p>
      <w:pPr>
        <w:pStyle w:val="P2"/>
        <w:jc w:val="left"/>
        <w:rPr>
          <w:rStyle w:val="C3"/>
          <w:rFonts w:ascii="Courier New" w:hAnsi="Courier New"/>
        </w:rPr>
      </w:pPr>
    </w:p>
    <w:p>
      <w:pPr>
        <w:pStyle w:val="P2"/>
        <w:jc w:val="left"/>
        <w:rPr>
          <w:rStyle w:val="C3"/>
          <w:rFonts w:ascii="Courier New" w:hAnsi="Courier New"/>
        </w:rPr>
      </w:pPr>
      <w:r>
        <w:rPr>
          <w:rStyle w:val="C3"/>
          <w:rFonts w:ascii="Courier New" w:hAnsi="Courier New"/>
        </w:rPr>
        <w:t>...///3.-</w:t>
      </w:r>
    </w:p>
    <w:p>
      <w:pPr>
        <w:pStyle w:val="P2"/>
        <w:jc w:val="left"/>
        <w:rPr>
          <w:rStyle w:val="C3"/>
          <w:rFonts w:ascii="Courier New" w:hAnsi="Courier New"/>
        </w:rPr>
      </w:pPr>
    </w:p>
    <w:p>
      <w:pPr>
        <w:pStyle w:val="P2"/>
        <w:ind w:left="1413"/>
        <w:jc w:val="right"/>
        <w:rPr>
          <w:rStyle w:val="C3"/>
          <w:rFonts w:ascii="Courier New" w:hAnsi="Courier New"/>
        </w:rPr>
      </w:pPr>
    </w:p>
    <w:p>
      <w:pPr>
        <w:pStyle w:val="P2"/>
        <w:ind w:left="1893"/>
        <w:rPr>
          <w:rStyle w:val="C3"/>
          <w:rFonts w:ascii="Courier New" w:hAnsi="Courier New"/>
        </w:rPr>
      </w:pPr>
      <w:r>
        <w:rPr>
          <w:rStyle w:val="C3"/>
          <w:rFonts w:ascii="Courier New" w:hAnsi="Courier New"/>
        </w:rPr>
        <w:t>presentar la significación cultural de un sitio” (Carta de Burra, Conservación de Lugares de Valor Cultural, 1981, Art. 1.17 y 6.2);</w:t>
      </w:r>
    </w:p>
    <w:p>
      <w:pPr>
        <w:pStyle w:val="P2"/>
        <w:numPr>
          <w:ilvl w:val="0"/>
          <w:numId w:val="1"/>
        </w:numPr>
        <w:rPr>
          <w:rStyle w:val="C3"/>
          <w:rFonts w:ascii="Courier New" w:hAnsi="Courier New"/>
        </w:rPr>
      </w:pPr>
      <w:r>
        <w:rPr>
          <w:rStyle w:val="C3"/>
          <w:rFonts w:ascii="Courier New" w:hAnsi="Courier New"/>
        </w:rPr>
        <w:t>Que “es preciso condenar toda dotación de equipamiento turístico o de servicios que entre en contradicción con la primordial preocupación que ha de ser el respeto debido al patrimonio cultural existente” (Carta de Turismo Cultural, 1976 I.4); así como se debe ser “conciente de la extrema necesidad de modificar la actual actitud del público en general sobre los grandes fenómenos desencadenados por el desarrollo masivo del turismo (...)” y en consecuencia educar en el “respeto por los monumentos y sitios y el patrimonio cultural, y que todos los medios de comunicación escrita, hablada o visual expongan al público los componentes de este problema” (II.7);</w:t>
      </w:r>
    </w:p>
    <w:p>
      <w:pPr>
        <w:pStyle w:val="P2"/>
        <w:numPr>
          <w:ilvl w:val="0"/>
          <w:numId w:val="1"/>
        </w:numPr>
        <w:rPr>
          <w:rStyle w:val="C3"/>
          <w:rFonts w:ascii="Courier New" w:hAnsi="Courier New"/>
        </w:rPr>
      </w:pPr>
      <w:r>
        <w:rPr>
          <w:rStyle w:val="C3"/>
          <w:rFonts w:ascii="Courier New" w:hAnsi="Courier New"/>
        </w:rPr>
        <w:t>Que la acción educativa y cultural debe organizar “centros de iniciativas, museos y exposiciones para explicar los trabajos emprendidos en los bienes culturales y naturales rehabilitados” (Recomendación sobre la protección en el ámbito nacional del patrimonio cultural y natural, 1972, Art. 65);</w:t>
      </w:r>
    </w:p>
    <w:p>
      <w:pPr>
        <w:pStyle w:val="P2"/>
        <w:rPr>
          <w:rStyle w:val="C3"/>
          <w:rFonts w:ascii="Courier New" w:hAnsi="Courier New"/>
        </w:rPr>
      </w:pPr>
    </w:p>
    <w:p>
      <w:pPr>
        <w:pStyle w:val="P2"/>
        <w:rPr>
          <w:rStyle w:val="C3"/>
          <w:rFonts w:ascii="Courier New" w:hAnsi="Courier New"/>
        </w:rPr>
      </w:pPr>
      <w:r>
        <w:rPr>
          <w:rStyle w:val="C3"/>
          <w:rFonts w:ascii="Courier New" w:hAnsi="Courier New"/>
        </w:rPr>
        <w:t>Que la ciudad posee y construye un perfil turístico cultural de excelencia que se apoya en estos bienes como recursos y productos de atracción, que necesitan una presentación adecuada para su interpretación;</w:t>
      </w:r>
    </w:p>
    <w:p>
      <w:pPr>
        <w:pStyle w:val="P2"/>
        <w:rPr>
          <w:rStyle w:val="C3"/>
          <w:rFonts w:ascii="Courier New" w:hAnsi="Courier New"/>
        </w:rPr>
      </w:pPr>
    </w:p>
    <w:p>
      <w:pPr>
        <w:pStyle w:val="P2"/>
        <w:rPr>
          <w:rStyle w:val="C3"/>
          <w:rFonts w:ascii="Courier New" w:hAnsi="Courier New"/>
        </w:rPr>
      </w:pPr>
      <w:r>
        <w:rPr>
          <w:rStyle w:val="C3"/>
          <w:rFonts w:ascii="Courier New" w:hAnsi="Courier New"/>
        </w:rPr>
        <w:t xml:space="preserve">Que en las parcelas citadas y en el marco referencial antedicho, deviene imposible, conforme los plexos normativos expuestos que resultan de Orden Público Nacional y Municipal, edificar construcción alguna, siendo en cambio idóneas para desarrollar actividades vinculadas a tales bienes culturales, - de acuerdo al Plan de Gestión del Patrimonio Cultural del Municipio en redacción-, en principio una Plaza sobre la esquina que relacione los elementos construidos de la Estancia con el Área de Paravachasca, una zona dedicada al Área de Interpretación del sistema jesuítico en Alta Gracia y en Córdoba, y  un  paseo  lineal que –uniendo los elementos </w:t>
      </w:r>
    </w:p>
    <w:p>
      <w:pPr>
        <w:pStyle w:val="P2"/>
        <w:jc w:val="right"/>
        <w:rPr>
          <w:rStyle w:val="C3"/>
          <w:rFonts w:ascii="Courier New" w:hAnsi="Courier New"/>
        </w:rPr>
      </w:pPr>
      <w:r>
        <w:rPr>
          <w:rStyle w:val="C3"/>
          <w:rFonts w:ascii="Courier New" w:hAnsi="Courier New"/>
        </w:rPr>
        <w:t>...///</w:t>
      </w:r>
    </w:p>
    <w:p>
      <w:pPr>
        <w:pStyle w:val="P2"/>
        <w:jc w:val="right"/>
        <w:rPr>
          <w:rStyle w:val="C3"/>
          <w:rFonts w:ascii="Courier New" w:hAnsi="Courier New"/>
        </w:rPr>
      </w:pPr>
    </w:p>
    <w:p>
      <w:pPr>
        <w:pStyle w:val="P2"/>
        <w:jc w:val="right"/>
        <w:rPr>
          <w:rStyle w:val="C3"/>
          <w:rFonts w:ascii="Courier New" w:hAnsi="Courier New"/>
        </w:rPr>
      </w:pPr>
    </w:p>
    <w:p>
      <w:pPr>
        <w:pStyle w:val="P2"/>
        <w:jc w:val="right"/>
        <w:rPr>
          <w:rStyle w:val="C3"/>
          <w:rFonts w:ascii="Courier New" w:hAnsi="Courier New"/>
        </w:rPr>
      </w:pPr>
    </w:p>
    <w:p>
      <w:pPr>
        <w:pStyle w:val="P2"/>
        <w:jc w:val="left"/>
        <w:rPr>
          <w:rStyle w:val="C3"/>
          <w:rFonts w:ascii="Courier New" w:hAnsi="Courier New"/>
        </w:rPr>
      </w:pPr>
      <w:r>
        <w:rPr>
          <w:rStyle w:val="C3"/>
          <w:rFonts w:ascii="Courier New" w:hAnsi="Courier New"/>
        </w:rPr>
        <w:t>...///4.-</w:t>
      </w:r>
    </w:p>
    <w:p>
      <w:pPr>
        <w:pStyle w:val="P2"/>
        <w:jc w:val="left"/>
        <w:rPr>
          <w:rStyle w:val="C3"/>
          <w:rFonts w:ascii="Courier New" w:hAnsi="Courier New"/>
        </w:rPr>
      </w:pPr>
    </w:p>
    <w:p>
      <w:pPr>
        <w:pStyle w:val="P2"/>
        <w:rPr>
          <w:rStyle w:val="C3"/>
          <w:rFonts w:ascii="Courier New" w:hAnsi="Courier New"/>
        </w:rPr>
      </w:pPr>
    </w:p>
    <w:p>
      <w:pPr>
        <w:pStyle w:val="P2"/>
        <w:rPr>
          <w:rStyle w:val="C3"/>
          <w:rFonts w:ascii="Courier New" w:hAnsi="Courier New"/>
        </w:rPr>
      </w:pPr>
      <w:r>
        <w:rPr>
          <w:rStyle w:val="C3"/>
          <w:rFonts w:ascii="Courier New" w:hAnsi="Courier New"/>
        </w:rPr>
        <w:t>citados – se vincule con el sitio donde se ubica el antiguo Molino harinero, donde actualmente se realizan trabajos arqueológicos destinados a su recuperación y puesta en valor;</w:t>
      </w:r>
    </w:p>
    <w:p>
      <w:pPr>
        <w:pStyle w:val="P2"/>
        <w:rPr>
          <w:rStyle w:val="C3"/>
          <w:rFonts w:ascii="Courier New" w:hAnsi="Courier New"/>
        </w:rPr>
      </w:pPr>
    </w:p>
    <w:p>
      <w:pPr>
        <w:pStyle w:val="P2"/>
        <w:rPr>
          <w:rStyle w:val="C3"/>
          <w:rFonts w:ascii="Courier New" w:hAnsi="Courier New"/>
        </w:rPr>
      </w:pPr>
      <w:r>
        <w:rPr>
          <w:rStyle w:val="C3"/>
          <w:rFonts w:ascii="Courier New" w:hAnsi="Courier New"/>
        </w:rPr>
        <w:t xml:space="preserve">Que, por lo expresado, estas actividades deben ubicarse en las parcelas en cuestión para favorecer la comprensión de la unidad espacial-funcional de la Estancia, tanto como recurso turístico como cultural y social, y que el interés público irrenunciable de este destino está avalado por las Cartas Internacionales citadas, las Constituciones Nacionales y Provinciales (Art. 65), la Carta Orgánica Municipal (Art. 37.3 y 4) y las Ordenanzas Municipales ante mencionadas;  </w:t>
      </w:r>
    </w:p>
    <w:p>
      <w:pPr>
        <w:pStyle w:val="P2"/>
        <w:ind w:hanging="1"/>
        <w:rPr>
          <w:rStyle w:val="C3"/>
          <w:rFonts w:ascii="Courier New" w:hAnsi="Courier New"/>
        </w:rPr>
      </w:pPr>
    </w:p>
    <w:p>
      <w:pPr>
        <w:pStyle w:val="P2"/>
        <w:ind w:hanging="1"/>
        <w:rPr>
          <w:rStyle w:val="C3"/>
          <w:rFonts w:ascii="Courier New" w:hAnsi="Courier New"/>
        </w:rPr>
      </w:pPr>
      <w:r>
        <w:rPr>
          <w:rStyle w:val="C3"/>
          <w:rFonts w:ascii="Courier New" w:hAnsi="Courier New"/>
        </w:rPr>
        <w:t xml:space="preserve">Que evaluado el Proyecto de Ordenanza, se emite despacho favorable aprobado por unanimidad en Sesión Ordinaria de fecha 31 de marzo de 2005. </w:t>
      </w:r>
    </w:p>
    <w:p>
      <w:pPr>
        <w:pStyle w:val="P2"/>
        <w:ind w:hanging="1"/>
        <w:rPr>
          <w:rStyle w:val="C3"/>
          <w:rFonts w:ascii="Courier New" w:hAnsi="Courier New"/>
        </w:rPr>
      </w:pPr>
    </w:p>
    <w:p>
      <w:pPr>
        <w:pStyle w:val="P2"/>
        <w:ind w:hanging="1"/>
        <w:rPr>
          <w:rStyle w:val="C3"/>
          <w:rFonts w:ascii="Courier New" w:hAnsi="Courier New"/>
        </w:rPr>
      </w:pPr>
    </w:p>
    <w:p>
      <w:pPr>
        <w:pStyle w:val="P1"/>
        <w:ind w:firstLine="708" w:left="708"/>
        <w:rPr>
          <w:rStyle w:val="C3"/>
          <w:b w:val="1"/>
          <w:sz w:val="24"/>
        </w:rPr>
      </w:pPr>
    </w:p>
    <w:p>
      <w:pPr>
        <w:pStyle w:val="P1"/>
        <w:ind w:firstLine="708" w:left="708"/>
        <w:rPr>
          <w:rStyle w:val="C3"/>
          <w:b w:val="1"/>
          <w:sz w:val="24"/>
        </w:rPr>
      </w:pPr>
      <w:r>
        <w:rPr>
          <w:rStyle w:val="C3"/>
          <w:b w:val="1"/>
          <w:sz w:val="24"/>
        </w:rPr>
        <w:t>EL HONORABLE CONCEJO DELIBERANTE DE LA CIUDAD DE</w:t>
      </w:r>
    </w:p>
    <w:p>
      <w:pPr>
        <w:pStyle w:val="P1"/>
        <w:ind w:left="709"/>
        <w:jc w:val="center"/>
        <w:rPr>
          <w:rStyle w:val="C3"/>
          <w:b w:val="1"/>
          <w:sz w:val="24"/>
        </w:rPr>
      </w:pPr>
    </w:p>
    <w:p>
      <w:pPr>
        <w:pStyle w:val="P1"/>
        <w:ind w:left="709"/>
        <w:jc w:val="center"/>
        <w:rPr>
          <w:rStyle w:val="C3"/>
          <w:b w:val="1"/>
          <w:sz w:val="24"/>
        </w:rPr>
      </w:pPr>
    </w:p>
    <w:p>
      <w:pPr>
        <w:pStyle w:val="P1"/>
        <w:ind w:left="1416"/>
        <w:rPr>
          <w:rStyle w:val="C3"/>
          <w:b w:val="1"/>
          <w:sz w:val="24"/>
        </w:rPr>
      </w:pPr>
      <w:r>
        <w:rPr>
          <w:rStyle w:val="C3"/>
          <w:b w:val="1"/>
          <w:sz w:val="24"/>
        </w:rPr>
        <w:t xml:space="preserve">  ALTA GRACIA SANCIONA CON FUERZA DE ORDENANZA</w:t>
      </w:r>
    </w:p>
    <w:p>
      <w:pPr>
        <w:pStyle w:val="P1"/>
        <w:jc w:val="right"/>
        <w:rPr>
          <w:rStyle w:val="C3"/>
          <w:sz w:val="24"/>
        </w:rPr>
      </w:pPr>
    </w:p>
    <w:p>
      <w:pPr>
        <w:pStyle w:val="P1"/>
        <w:jc w:val="both"/>
        <w:rPr>
          <w:rStyle w:val="C3"/>
          <w:b w:val="1"/>
          <w:sz w:val="24"/>
          <w:u w:val="single"/>
        </w:rPr>
      </w:pPr>
    </w:p>
    <w:p>
      <w:pPr>
        <w:pStyle w:val="P1"/>
        <w:jc w:val="both"/>
        <w:rPr>
          <w:rStyle w:val="C3"/>
          <w:b w:val="1"/>
          <w:sz w:val="24"/>
          <w:u w:val="single"/>
        </w:rPr>
      </w:pPr>
    </w:p>
    <w:p>
      <w:pPr>
        <w:pStyle w:val="P1"/>
        <w:ind w:hanging="709" w:left="709"/>
        <w:jc w:val="both"/>
        <w:rPr>
          <w:rStyle w:val="C3"/>
          <w:sz w:val="24"/>
        </w:rPr>
      </w:pPr>
      <w:r>
        <w:rPr>
          <w:rStyle w:val="C3"/>
          <w:b w:val="1"/>
          <w:sz w:val="24"/>
          <w:u w:val="single"/>
        </w:rPr>
        <w:t>Art.1</w:t>
      </w:r>
      <w:r>
        <w:rPr>
          <w:rStyle w:val="C3"/>
          <w:sz w:val="24"/>
        </w:rPr>
        <w:t xml:space="preserve">: </w:t>
      </w:r>
      <w:r>
        <w:rPr>
          <w:rStyle w:val="C3"/>
          <w:b w:val="1"/>
          <w:sz w:val="24"/>
        </w:rPr>
        <w:t xml:space="preserve">DECLÁRESE </w:t>
      </w:r>
      <w:r>
        <w:rPr>
          <w:rStyle w:val="C3"/>
          <w:sz w:val="24"/>
        </w:rPr>
        <w:t>de utilidad pública</w:t>
      </w:r>
      <w:r>
        <w:rPr>
          <w:rStyle w:val="C3"/>
          <w:b w:val="1"/>
          <w:sz w:val="24"/>
        </w:rPr>
        <w:t xml:space="preserve"> </w:t>
      </w:r>
      <w:r>
        <w:rPr>
          <w:rStyle w:val="C3"/>
          <w:sz w:val="24"/>
        </w:rPr>
        <w:t>y sujeto a expropiación las fracciones de terreno designadas como: Circunscripción 1; Sección 1; Manzana 100; Parcelas 1 y 21, Cuenta N° 31060174648/3, que linda al Norte con la calle Chile, al Sur con la calle Belgrano, al Este con el Edificio Municipal (C:1; S:1; Mz.:100; P:2), y al Oeste con la calle Del Molino, y que encierra una superficie de 1830.39 m2, debiendo ejecutarse la expropiación dispuesta en un todo de acuerdo a lo establecido por la Ley Provincial N° 6394.</w:t>
      </w:r>
    </w:p>
    <w:p>
      <w:pPr>
        <w:pStyle w:val="P1"/>
        <w:ind w:hanging="709" w:left="709"/>
        <w:jc w:val="both"/>
        <w:rPr>
          <w:rStyle w:val="C3"/>
          <w:b w:val="1"/>
          <w:sz w:val="24"/>
        </w:rPr>
      </w:pPr>
    </w:p>
    <w:p>
      <w:pPr>
        <w:pStyle w:val="P1"/>
        <w:ind w:hanging="709" w:left="709"/>
        <w:jc w:val="both"/>
        <w:rPr>
          <w:rStyle w:val="C3"/>
          <w:sz w:val="24"/>
        </w:rPr>
      </w:pPr>
      <w:r>
        <w:rPr>
          <w:rStyle w:val="C3"/>
          <w:b w:val="1"/>
          <w:sz w:val="24"/>
          <w:u w:val="single"/>
        </w:rPr>
        <w:t>Art.2</w:t>
      </w:r>
      <w:r>
        <w:rPr>
          <w:rStyle w:val="C3"/>
          <w:b w:val="1"/>
          <w:sz w:val="24"/>
        </w:rPr>
        <w:t xml:space="preserve">: FACÚLTESE </w:t>
      </w:r>
      <w:r>
        <w:rPr>
          <w:rStyle w:val="C3"/>
          <w:sz w:val="24"/>
        </w:rPr>
        <w:t>al Departamento Ejecutivo a implementar todo lo necesario a fin de dar cumplimiento a través de gestiones jurídicas, económicas, políticas y de toda índole, de acuerdo a lo establecido en el Art. 1 de la presente Ordenanza.</w:t>
      </w:r>
    </w:p>
    <w:p>
      <w:pPr>
        <w:pStyle w:val="P1"/>
        <w:ind w:hanging="709" w:left="709"/>
        <w:jc w:val="right"/>
        <w:rPr>
          <w:rStyle w:val="C3"/>
          <w:sz w:val="24"/>
        </w:rPr>
      </w:pPr>
      <w:r>
        <w:rPr>
          <w:rStyle w:val="C3"/>
          <w:sz w:val="24"/>
        </w:rPr>
        <w:t>...///</w:t>
      </w:r>
    </w:p>
    <w:p>
      <w:pPr>
        <w:pStyle w:val="P1"/>
        <w:ind w:hanging="709" w:left="709"/>
        <w:jc w:val="right"/>
        <w:rPr>
          <w:rStyle w:val="C3"/>
          <w:sz w:val="24"/>
        </w:rPr>
      </w:pPr>
    </w:p>
    <w:p>
      <w:pPr>
        <w:pStyle w:val="P1"/>
        <w:ind w:hanging="709" w:left="709"/>
        <w:jc w:val="right"/>
        <w:rPr>
          <w:rStyle w:val="C3"/>
          <w:sz w:val="24"/>
        </w:rPr>
      </w:pPr>
    </w:p>
    <w:p>
      <w:pPr>
        <w:pStyle w:val="P1"/>
        <w:ind w:hanging="709" w:left="709"/>
        <w:jc w:val="right"/>
        <w:rPr>
          <w:rStyle w:val="C3"/>
          <w:sz w:val="24"/>
        </w:rPr>
      </w:pPr>
    </w:p>
    <w:p>
      <w:pPr>
        <w:pStyle w:val="P1"/>
        <w:ind w:hanging="709" w:left="709"/>
        <w:rPr>
          <w:rStyle w:val="C3"/>
          <w:sz w:val="24"/>
        </w:rPr>
      </w:pPr>
      <w:r>
        <w:rPr>
          <w:rStyle w:val="C3"/>
          <w:sz w:val="24"/>
        </w:rPr>
        <w:t>..///5.-</w:t>
      </w:r>
    </w:p>
    <w:p>
      <w:pPr>
        <w:pStyle w:val="P1"/>
        <w:ind w:hanging="709" w:left="709"/>
        <w:rPr>
          <w:rStyle w:val="C3"/>
          <w:sz w:val="24"/>
        </w:rPr>
      </w:pPr>
    </w:p>
    <w:p>
      <w:pPr>
        <w:pStyle w:val="P1"/>
        <w:ind w:hanging="709" w:left="709"/>
        <w:jc w:val="right"/>
        <w:rPr>
          <w:rStyle w:val="C3"/>
          <w:sz w:val="24"/>
        </w:rPr>
      </w:pPr>
    </w:p>
    <w:p>
      <w:pPr>
        <w:pStyle w:val="P1"/>
        <w:ind w:hanging="709" w:left="709"/>
        <w:jc w:val="both"/>
        <w:rPr>
          <w:rStyle w:val="C3"/>
          <w:sz w:val="24"/>
        </w:rPr>
      </w:pPr>
      <w:r>
        <w:rPr>
          <w:rStyle w:val="C3"/>
          <w:b w:val="1"/>
          <w:sz w:val="24"/>
          <w:u w:val="single"/>
        </w:rPr>
        <w:t>Art.</w:t>
      </w:r>
      <w:r>
        <w:rPr>
          <w:rStyle w:val="C3"/>
          <w:b w:val="1"/>
          <w:sz w:val="24"/>
          <w:u w:val="single"/>
        </w:rPr>
        <w:t>3</w:t>
      </w:r>
      <w:r>
        <w:rPr>
          <w:rStyle w:val="C3"/>
          <w:b w:val="1"/>
          <w:sz w:val="24"/>
        </w:rPr>
        <w:t xml:space="preserve">: </w:t>
      </w:r>
      <w:r>
        <w:rPr>
          <w:rStyle w:val="C3"/>
          <w:b w:val="1"/>
          <w:sz w:val="24"/>
        </w:rPr>
        <w:t>PROTOCOLÍCESE</w:t>
      </w:r>
      <w:r>
        <w:rPr>
          <w:rStyle w:val="C3"/>
          <w:sz w:val="24"/>
        </w:rPr>
        <w:t xml:space="preserve">, comuníquese, publíquese en el Boletín                                                                                                                                                                                                                                                                                                                                                                                                                                                                                                                              de la Ciudad de Alta Gracia, transcríbase al Libro de Ordenanzas y archívese.</w:t>
      </w:r>
    </w:p>
    <w:p>
      <w:pPr>
        <w:pStyle w:val="P1"/>
        <w:ind w:hanging="709" w:left="709"/>
        <w:jc w:val="both"/>
        <w:rPr>
          <w:rStyle w:val="C3"/>
          <w:b w:val="1"/>
          <w:sz w:val="24"/>
          <w:u w:val="single"/>
        </w:rPr>
      </w:pPr>
    </w:p>
    <w:p>
      <w:pPr>
        <w:pStyle w:val="P1"/>
        <w:jc w:val="both"/>
        <w:rPr>
          <w:rStyle w:val="C3"/>
          <w:b w:val="1"/>
          <w:sz w:val="24"/>
        </w:rPr>
      </w:pPr>
    </w:p>
    <w:p>
      <w:pPr>
        <w:pStyle w:val="P1"/>
        <w:jc w:val="both"/>
        <w:rPr>
          <w:rStyle w:val="C3"/>
          <w:b w:val="1"/>
          <w:sz w:val="24"/>
        </w:rPr>
      </w:pPr>
      <w:r>
        <w:rPr>
          <w:rStyle w:val="C3"/>
          <w:b w:val="1"/>
          <w:sz w:val="24"/>
        </w:rPr>
        <w:t xml:space="preserve">DADA EN LA SALA DE SESIONES DEL HONORABLE CONCEJO DELIBERANTE A LOS </w:t>
      </w:r>
      <w:r>
        <w:rPr>
          <w:rStyle w:val="C3"/>
          <w:b w:val="1"/>
          <w:sz w:val="24"/>
        </w:rPr>
        <w:t>TREINTA Y UN</w:t>
      </w:r>
      <w:r>
        <w:rPr>
          <w:rStyle w:val="C3"/>
          <w:b w:val="1"/>
          <w:sz w:val="24"/>
        </w:rPr>
        <w:t xml:space="preserve"> DIAS DEL MES DE </w:t>
      </w:r>
      <w:r>
        <w:rPr>
          <w:rStyle w:val="C3"/>
          <w:b w:val="1"/>
          <w:sz w:val="24"/>
        </w:rPr>
        <w:t>MARZO</w:t>
      </w:r>
      <w:r>
        <w:rPr>
          <w:rStyle w:val="C3"/>
          <w:b w:val="1"/>
          <w:sz w:val="24"/>
        </w:rPr>
        <w:t xml:space="preserve"> DEL AÑO DOS MIL C</w:t>
      </w:r>
      <w:r>
        <w:rPr>
          <w:rStyle w:val="C3"/>
          <w:b w:val="1"/>
          <w:sz w:val="24"/>
        </w:rPr>
        <w:t>INCO</w:t>
      </w:r>
      <w:r>
        <w:rPr>
          <w:rStyle w:val="C3"/>
          <w:b w:val="1"/>
          <w:sz w:val="24"/>
        </w:rPr>
        <w:t>.</w:t>
      </w: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jc w:val="both"/>
        <w:rPr>
          <w:rStyle w:val="C3"/>
          <w:b w:val="1"/>
          <w:sz w:val="24"/>
          <w:u w:val="single"/>
        </w:rPr>
      </w:pPr>
    </w:p>
    <w:sectPr>
      <w:type w:val="nextPage"/>
      <w:pgSz w:w="11907" w:h="16840" w:code="0"/>
      <w:pgMar w:left="1701" w:right="1321" w:top="1418" w:bottom="1418" w:header="709" w:footer="709" w:gutter="0"/>
    </w:sectPr>
  </w:body>
</w:document>
</file>

<file path=word/numbering.xml><?xml version="1.0" encoding="utf-8"?>
<w:numbering xmlns:w="http://schemas.openxmlformats.org/wordprocessingml/2006/main">
  <w:abstractNum w:abstractNumId="0">
    <w:nsid w:val="0AD70512"/>
    <w:multiLevelType w:val="multilevel"/>
    <w:lvl w:ilvl="0">
      <w:start w:val="1"/>
      <w:numFmt w:val="lowerLetter"/>
      <w:suff w:val="tab"/>
      <w:lvlText w:val="%1."/>
      <w:lvlJc w:val="left"/>
      <w:pPr>
        <w:ind w:hanging="480" w:left="1893"/>
        <w:tabs>
          <w:tab w:val="left" w:pos="1893" w:leader="none"/>
        </w:tabs>
      </w:pPr>
      <w:rPr/>
    </w:lvl>
    <w:lvl w:ilvl="1">
      <w:start w:val="1"/>
      <w:numFmt w:val="lowerLetter"/>
      <w:suff w:val="tab"/>
      <w:lvlText w:val="%2."/>
      <w:lvlJc w:val="left"/>
      <w:pPr>
        <w:ind w:hanging="360" w:left="2493"/>
        <w:tabs>
          <w:tab w:val="left" w:pos="2493" w:leader="none"/>
        </w:tabs>
      </w:pPr>
      <w:rPr/>
    </w:lvl>
    <w:lvl w:ilvl="2">
      <w:start w:val="1"/>
      <w:numFmt w:val="lowerRoman"/>
      <w:suff w:val="tab"/>
      <w:lvlText w:val="%3."/>
      <w:lvlJc w:val="right"/>
      <w:pPr>
        <w:ind w:hanging="180" w:left="3213"/>
        <w:tabs>
          <w:tab w:val="left" w:pos="3213" w:leader="none"/>
        </w:tabs>
      </w:pPr>
      <w:rPr/>
    </w:lvl>
    <w:lvl w:ilvl="3">
      <w:start w:val="1"/>
      <w:numFmt w:val="decimal"/>
      <w:suff w:val="tab"/>
      <w:lvlText w:val="%4."/>
      <w:lvlJc w:val="left"/>
      <w:pPr>
        <w:ind w:hanging="360" w:left="3933"/>
        <w:tabs>
          <w:tab w:val="left" w:pos="3933" w:leader="none"/>
        </w:tabs>
      </w:pPr>
      <w:rPr/>
    </w:lvl>
    <w:lvl w:ilvl="4">
      <w:start w:val="1"/>
      <w:numFmt w:val="lowerLetter"/>
      <w:suff w:val="tab"/>
      <w:lvlText w:val="%5."/>
      <w:lvlJc w:val="left"/>
      <w:pPr>
        <w:ind w:hanging="360" w:left="4653"/>
        <w:tabs>
          <w:tab w:val="left" w:pos="4653" w:leader="none"/>
        </w:tabs>
      </w:pPr>
      <w:rPr/>
    </w:lvl>
    <w:lvl w:ilvl="5">
      <w:start w:val="1"/>
      <w:numFmt w:val="lowerRoman"/>
      <w:suff w:val="tab"/>
      <w:lvlText w:val="%6."/>
      <w:lvlJc w:val="right"/>
      <w:pPr>
        <w:ind w:hanging="180" w:left="5373"/>
        <w:tabs>
          <w:tab w:val="left" w:pos="5373" w:leader="none"/>
        </w:tabs>
      </w:pPr>
      <w:rPr/>
    </w:lvl>
    <w:lvl w:ilvl="6">
      <w:start w:val="1"/>
      <w:numFmt w:val="decimal"/>
      <w:suff w:val="tab"/>
      <w:lvlText w:val="%7."/>
      <w:lvlJc w:val="left"/>
      <w:pPr>
        <w:ind w:hanging="360" w:left="6093"/>
        <w:tabs>
          <w:tab w:val="left" w:pos="6093" w:leader="none"/>
        </w:tabs>
      </w:pPr>
      <w:rPr/>
    </w:lvl>
    <w:lvl w:ilvl="7">
      <w:start w:val="1"/>
      <w:numFmt w:val="lowerLetter"/>
      <w:suff w:val="tab"/>
      <w:lvlText w:val="%8."/>
      <w:lvlJc w:val="left"/>
      <w:pPr>
        <w:ind w:hanging="360" w:left="6813"/>
        <w:tabs>
          <w:tab w:val="left" w:pos="6813" w:leader="none"/>
        </w:tabs>
      </w:pPr>
      <w:rPr/>
    </w:lvl>
    <w:lvl w:ilvl="8">
      <w:start w:val="1"/>
      <w:numFmt w:val="lowerRoman"/>
      <w:suff w:val="tab"/>
      <w:lvlText w:val="%9."/>
      <w:lvlJc w:val="right"/>
      <w:pPr>
        <w:ind w:hanging="180" w:left="7533"/>
        <w:tabs>
          <w:tab w:val="left" w:pos="7533" w:leader="none"/>
        </w:tabs>
      </w:pPr>
      <w:rPr/>
    </w:lvl>
  </w:abstractNum>
  <w:num w:numId="1">
    <w:abstractNumId w:val="0"/>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exto sin formato"/>
    <w:basedOn w:val="P0"/>
    <w:next w:val="P1"/>
    <w:pPr/>
    <w:rPr>
      <w:rFonts w:ascii="Courier New" w:hAnsi="Courier New"/>
    </w:rPr>
  </w:style>
  <w:style w:type="paragraph" w:styleId="P2">
    <w:name w:val="Sangría 2 de t. independiente"/>
    <w:basedOn w:val="P0"/>
    <w:next w:val="P2"/>
    <w:pPr>
      <w:ind w:left="709"/>
      <w:jc w:val="both"/>
    </w:pPr>
    <w:rPr>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2005-03-31T17:33:00Z</dcterms:created>
  <cp:lastModifiedBy>Ethan Puglia</cp:lastModifiedBy>
  <cp:lastPrinted>2005-04-01T16:43:00Z</cp:lastPrinted>
  <dcterms:modified xsi:type="dcterms:W3CDTF">2019-03-28T17:34:04Z</dcterms:modified>
  <cp:revision>13</cp:revision>
  <dc:title>1¾   «        M</dc:title>
</cp:coreProperties>
</file>