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3F87CC" Type="http://schemas.openxmlformats.org/officeDocument/2006/relationships/officeDocument" Target="/word/document.xml" /><Relationship Id="coreR7C3F87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7199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Los Expedientes Nº 1801/04 y 840/03 donde se solicita exención de Tasa por Servicios de Administración y Mantenimiento de los Cementerios; y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generalmente, presentan importantes problemas de salud con tratamiento permanente y gastos en medicamentos que le impiden afrontar las deudas contraídas;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14 de abril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FÍJESE </w:t>
      </w:r>
      <w:r>
        <w:rPr>
          <w:rStyle w:val="C3"/>
          <w:sz w:val="24"/>
        </w:rPr>
        <w:t>como cuota social en concepto de Tasa por Servicios de Administración y Mantenimiento de los Cementerios de la deuda que mantienen con el Municipio respecto de las identificaciones correspondientes: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48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2410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Identificación N°</w:t>
            </w:r>
          </w:p>
        </w:tc>
        <w:tc>
          <w:tcPr>
            <w:tcW w:w="198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máxima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48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840/03</w:t>
            </w:r>
          </w:p>
        </w:tc>
        <w:tc>
          <w:tcPr>
            <w:tcW w:w="2410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000687</w:t>
            </w:r>
          </w:p>
        </w:tc>
        <w:tc>
          <w:tcPr>
            <w:tcW w:w="1984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$10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Enero 2005</w:t>
            </w:r>
          </w:p>
        </w:tc>
        <w:tc>
          <w:tcPr>
            <w:tcW w:w="155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Dic. 2006 inclusive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EXÍMASE </w:t>
      </w:r>
      <w:r>
        <w:rPr>
          <w:rStyle w:val="C3"/>
          <w:sz w:val="24"/>
        </w:rPr>
        <w:t xml:space="preserve">a los titulares de las siguientes identificaciones, en los porcentajes abajo detallados, de la deuda que en concepto de Tasa por Inhumación mantienen con el Municipio respecto de las identificaciones correspondientes: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70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Identificación N°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Monto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% Exención</w:t>
            </w:r>
          </w:p>
        </w:tc>
        <w:tc>
          <w:tcPr>
            <w:tcW w:w="127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70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1801/01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8137</w:t>
            </w:r>
          </w:p>
        </w:tc>
        <w:tc>
          <w:tcPr>
            <w:tcW w:w="1276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$90</w:t>
            </w:r>
          </w:p>
        </w:tc>
        <w:tc>
          <w:tcPr>
            <w:tcW w:w="198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100</w:t>
            </w:r>
          </w:p>
        </w:tc>
        <w:tc>
          <w:tcPr>
            <w:tcW w:w="127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EXÍMASE </w:t>
      </w:r>
      <w:r>
        <w:rPr>
          <w:rStyle w:val="C3"/>
          <w:sz w:val="24"/>
        </w:rPr>
        <w:t>por cada 12 cuotas abonadas en término igual cantidad de cuotas (doce) de la deuda anterior, a los propietarios de las siguientes identificaciones que se detallan a continuación: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Identificación Nº</w:t>
            </w:r>
          </w:p>
        </w:tc>
        <w:tc>
          <w:tcPr>
            <w:tcW w:w="230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 N°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González, Carlos A.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000687</w:t>
            </w:r>
          </w:p>
        </w:tc>
        <w:tc>
          <w:tcPr>
            <w:tcW w:w="230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840/03</w:t>
            </w:r>
          </w:p>
        </w:tc>
      </w:tr>
    </w:tbl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CATORCE DÍAS DEL MES DE ABRIL DEL AÑO DOS MIL CINCO.</w:t>
      </w:r>
    </w:p>
    <w:p>
      <w:pPr>
        <w:pStyle w:val="P1"/>
        <w:jc w:val="both"/>
        <w:rPr>
          <w:rStyle w:val="C3"/>
          <w:b w:val="1"/>
          <w:sz w:val="52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2005-04-20T10:34:00Z</dcterms:created>
  <cp:lastModifiedBy>Ethan Puglia</cp:lastModifiedBy>
  <cp:lastPrinted>2005-04-20T11:15:00Z</cp:lastPrinted>
  <dcterms:modified xsi:type="dcterms:W3CDTF">2019-03-28T17:34:05Z</dcterms:modified>
  <cp:revision>5</cp:revision>
  <dc:title>1¾   «        M</dc:title>
</cp:coreProperties>
</file>