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9B0A03" Type="http://schemas.openxmlformats.org/officeDocument/2006/relationships/officeDocument" Target="/word/document.xml" /><Relationship Id="coreR7A9B0A0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7235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Las Ordenanzas Nº 3350, N° 4352, N° 4389, y N° 7075; y 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por Ordenanza N° 4352 se agrega el punto III al Artículo 32 de la Ordenanza N° 3350, luego modificado en su redacción por la Ordenanza N° 4389;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con el punto III se intenta sancionar a los vehículos que circulan ofreciendo el servicio de remis sin contar con las autorizaciones y habilitaciones correspondientes;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han realizado presentaciones a este Honorable Concejo Deliberante cuestionando el secuestro del vehículo en infracción y la posterior restitución del mismo supeditada al pago íntegro de la multa;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Ordenanza N° 7075, sancionada el 7 de octubre del 2004, se contempló esta situación por la vía de la excepción;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Asesoría Letrada en su Informe N° 22 de fecha 12 de mayo del corriente advierte sobre el “recurrente dictado de ordenanzas de excepción a las disposiciones de la Ordenanza N° 3350” y aconseja receptar “legislativamente estas inquietudes” debido a la “repetida exposición de situaciones que hacen a la imposibilidad de devolver vehículos secuestrados, previo pago de una multa de monto importante”;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 considerar, además, los riesgos que implica la guarda de esos vehículos secuestrados en dependencias municipales;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1"/>
        <w:ind w:hanging="709" w:left="709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 las Ordenanzas mencionadas junto al Informe N° 22 de Asesoría Letrada y las exposiciones formuladas ante el Concejo constituido en Comisión, se emite despacho favorable aprobado por unanimidad en Sesión Ordinaria de fecha 26 de mayo de 2005.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</w:t>
        <w:tab/>
        <w:tab/>
        <w:t xml:space="preserve">  ALTA GRACIA SANCIONA CON FUERZA DE ORDENANZA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MODIFÍCASE</w:t>
      </w:r>
      <w:r>
        <w:rPr>
          <w:rStyle w:val="C3"/>
          <w:sz w:val="24"/>
        </w:rPr>
        <w:t xml:space="preserve"> el punto III del Art. 32 de la Ordenanza N° 3350, agregado por Ordenanza N° 4352, el que quedará redactado de la siguiente manera: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“</w:t>
      </w:r>
      <w:r>
        <w:rPr>
          <w:rStyle w:val="C3"/>
          <w:sz w:val="24"/>
          <w:u w:val="single"/>
        </w:rPr>
        <w:t>Art. 32</w:t>
      </w:r>
      <w:r>
        <w:rPr>
          <w:rStyle w:val="C3"/>
          <w:sz w:val="24"/>
        </w:rPr>
        <w:t>: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III. Con secuestro del vehículo y multa de Pesos Dos Mil ($2000) cuando se comprobare que un automóvil es utilizado como remis y se encuentra operando en forma irregular, sin permiso o en las condiciones previstas en los incisos b) y f) del Punto I del presente artículo, sin perjuicio de la aplicación de la sanción allí prevista, de inhabilitación; multa que podrá ser abonada hasta en diez cuotas, y junto al efectivo pago de la última cuota se procederá a  la restitución del vehículo secuestrado, o podrá ser abonada con una entrega inicial del cincuenta por ciento (50%) de la multa y el saldo hasta en cinco (5) cuotas iguales y consecutivas, con garantía a ser implementada por el Departamento Ejecutivo, con restitución del vehículo secuestrado luego de abonada la entrega inicial y constituida la garantía; asimismo se deberán abonar íntegramente los gastos ocasionados por el secuestro, traslado y estadía, los cuales serán determinados por el Departamento Ejecutivo. En caso de reincidencia la multa será igual al doble del monto correspondiente a la anterior infracción y en las mismas condiciones.”</w:t>
      </w:r>
    </w:p>
    <w:p>
      <w:pPr>
        <w:pStyle w:val="P1"/>
        <w:ind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LA </w:t>
      </w:r>
      <w:r>
        <w:rPr>
          <w:rStyle w:val="C3"/>
          <w:sz w:val="24"/>
        </w:rPr>
        <w:t>presente Ordenanza entrará en vigencia en la fecha que se dicte su Decreto promulgatorio, en un todo de conformidad a lo establecido en el Artículo 24 de la Carta Orgánica Municipal.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LOS VEINTISEIS DÍAS DEL MES DE MAYO DEL AÑO DOS MIL CINCO.</w:t>
      </w:r>
    </w:p>
    <w:sectPr>
      <w:type w:val="nextPage"/>
      <w:pgSz w:w="11907" w:h="16840" w:code="0"/>
      <w:pgMar w:left="1701" w:right="1418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2005-06-02T15:30:00Z</dcterms:created>
  <cp:lastModifiedBy>Ethan Puglia</cp:lastModifiedBy>
  <cp:lastPrinted>2005-02-28T13:55:00Z</cp:lastPrinted>
  <dcterms:modified xsi:type="dcterms:W3CDTF">2019-03-28T17:34:06Z</dcterms:modified>
  <cp:revision>27</cp:revision>
  <dc:title>1¾   «        M</dc:title>
</cp:coreProperties>
</file>