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74C608" Type="http://schemas.openxmlformats.org/officeDocument/2006/relationships/officeDocument" Target="/word/document.xml" /><Relationship Id="coreR6B74C6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rPr>
      </w:pPr>
    </w:p>
    <w:p>
      <w:pPr>
        <w:pStyle w:val="P3"/>
      </w:pPr>
      <w:r>
        <w:t xml:space="preserve">ORDENANZA  N° 7241</w:t>
      </w:r>
    </w:p>
    <w:p>
      <w:pPr>
        <w:jc w:val="both"/>
        <w:rPr>
          <w:rStyle w:val="C3"/>
          <w:rFonts w:ascii="Courier New" w:hAnsi="Courier New"/>
        </w:rPr>
      </w:pP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 xml:space="preserve">Visto: La Ampliación de la Red Cloacal y la Ordenanza N° 7149 – Presupuesto General de la Municipalidad de Alta Gracia; y </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u w:val="single"/>
        </w:rPr>
      </w:pPr>
    </w:p>
    <w:p>
      <w:pPr>
        <w:jc w:val="both"/>
        <w:rPr>
          <w:rStyle w:val="C3"/>
          <w:rFonts w:ascii="Courier New" w:hAnsi="Courier New"/>
          <w:u w:val="single"/>
        </w:rPr>
      </w:pPr>
    </w:p>
    <w:p>
      <w:pPr>
        <w:ind w:left="709"/>
        <w:jc w:val="both"/>
        <w:rPr>
          <w:rStyle w:val="C3"/>
          <w:rFonts w:ascii="Courier New" w:hAnsi="Courier New"/>
        </w:rPr>
      </w:pPr>
      <w:r>
        <w:rPr>
          <w:rStyle w:val="C3"/>
          <w:rFonts w:ascii="Courier New" w:hAnsi="Courier New"/>
        </w:rPr>
        <w:t>Que el Gobierno de la Ciudad conforme a los extremos de la Ordenanza Nº 7118 lleva adelante la obra de ampliación de red cloacal de los Barrios Poluyan y Sur;</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el Honorable Concejo Deliberante reconoció  previamente a su sanción y mediante la Ordenanza N° 6886, el Alerta Medio Ambiental en todo el ámbito de la ciudad;</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para la consecución de la referida ampliación, es necesario la provisión de diversos componentes y / o  elementos de precisas características técnicas y que no son de disponibilidad usual en plaza;</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la  Ordenanza N° 7149 – Presupuesto General de la Municipalidad de Alta Gracia-, especifica en su plexo normativo las pautas y formas que el municipio debe observar para las contrataciones a los efectos; </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a los fines de continuar a un ritmo sostenido con el correspondiente avance de obra y sumado a la imposibilidad temporal de realizar las licitaciones necesarias para la adquisición de dichos componentes y / o elementos en un lapso perentorio;</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es necesario, oportuno y conveniente facultar al Departamento Ejecutivo a través de la correspondiente norma que así lo autorice, dictar el pertinente acto administrativo para continuar el desarrollo y  proveer a los vecinos afectados, tan necesitada obra de infraestructura básica;</w:t>
      </w:r>
    </w:p>
    <w:p>
      <w:pPr>
        <w:jc w:val="right"/>
        <w:rPr>
          <w:rStyle w:val="C3"/>
          <w:rFonts w:ascii="Courier New" w:hAnsi="Courier New"/>
          <w:b w:val="1"/>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analizado el Proyecto de Ordenanza por la totalidad de los miembros presentes, se emite despacho favorable, el cual es aprobado por mayoría en Sesión Ordinaria de fecha 9 de junio de 2005.</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firstLine="709"/>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p>
    <w:p>
      <w:pPr>
        <w:pStyle w:val="P7"/>
      </w:pPr>
      <w:r>
        <w:t>ALTA GRACIA SANCIONA CON FUERZA DE ORDENANZA</w:t>
      </w:r>
    </w:p>
    <w:p>
      <w:pPr>
        <w:jc w:val="both"/>
        <w:rPr>
          <w:rStyle w:val="C3"/>
          <w:rFonts w:ascii="Courier New" w:hAnsi="Courier New"/>
          <w:b w:val="1"/>
        </w:rPr>
      </w:pPr>
    </w:p>
    <w:p>
      <w:pPr>
        <w:jc w:val="both"/>
        <w:rPr>
          <w:rStyle w:val="C3"/>
          <w:rFonts w:ascii="Courier New" w:hAnsi="Courier New"/>
          <w:b w:val="1"/>
        </w:rPr>
      </w:pPr>
    </w:p>
    <w:p>
      <w:pPr>
        <w:ind w:hanging="720" w:left="720"/>
        <w:jc w:val="both"/>
        <w:rPr>
          <w:rStyle w:val="C3"/>
          <w:rFonts w:ascii="Courier New" w:hAnsi="Courier New"/>
        </w:rPr>
      </w:pPr>
      <w:r>
        <w:rPr>
          <w:rStyle w:val="C3"/>
          <w:rFonts w:ascii="Courier New" w:hAnsi="Courier New"/>
          <w:b w:val="1"/>
          <w:u w:val="single"/>
        </w:rPr>
        <w:t>ART.1</w:t>
      </w:r>
      <w:r>
        <w:rPr>
          <w:rStyle w:val="C3"/>
          <w:rFonts w:ascii="Courier New" w:hAnsi="Courier New"/>
          <w:b w:val="1"/>
        </w:rPr>
        <w:t>: FACÚLTASE</w:t>
      </w:r>
      <w:r>
        <w:rPr>
          <w:rStyle w:val="C3"/>
          <w:rFonts w:ascii="Courier New" w:hAnsi="Courier New"/>
        </w:rPr>
        <w:t xml:space="preserve"> al Departamento Ejecutivo a efectuar mediante Concurso Privado de Precios y según lo estipulado en el Art. 33º de la Ordenanza Nº 7149, a  excepción de los montos allí  establecidos, la adquisición de los elementos y / o componentes técnicos faltantes para la ampliación de la red cloacal en diversos barrios de la ciudad.</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APRUÉBESE</w:t>
      </w:r>
      <w:r>
        <w:rPr>
          <w:rStyle w:val="C3"/>
          <w:rFonts w:ascii="Courier New" w:hAnsi="Courier New"/>
        </w:rPr>
        <w:t xml:space="preserve"> el modelo de Concurso Privado de Precios que como anexo se adjunta a la presente. </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NUEVE DÍAS DEL MES DE JUNIO DEL AÑO DOS MIL CINCO.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ANEXO</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PLIEGO DE CONDICIONES</w:t>
      </w:r>
    </w:p>
    <w:p>
      <w:pPr>
        <w:jc w:val="center"/>
        <w:rPr>
          <w:rStyle w:val="C3"/>
          <w:rFonts w:ascii="Courier New" w:hAnsi="Courier New"/>
          <w:b w:val="1"/>
        </w:rPr>
      </w:pPr>
    </w:p>
    <w:p>
      <w:pPr>
        <w:jc w:val="center"/>
        <w:rPr>
          <w:rStyle w:val="C3"/>
          <w:rFonts w:ascii="Courier New" w:hAnsi="Courier New"/>
          <w:b w:val="1"/>
        </w:rPr>
      </w:pPr>
    </w:p>
    <w:p>
      <w:pPr>
        <w:pStyle w:val="P8"/>
        <w:jc w:val="center"/>
      </w:pPr>
      <w:r>
        <w:t>CONCURSO PRIVADO DE PRECIOS</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Cláusula Primera: El presente llamado a Concurso Privado de Precios tiene por objeto contratar el suministro de......................., según las especificaciones que se mencionan en el detalle obrante en el  Memorándum de la Secretaría de Obras y Servicios Públicos y su correspondiente anexo que forma parte  de este Pliego de Condiciones, y que será devuelto debidamente firmado.</w:t>
      </w:r>
    </w:p>
    <w:p>
      <w:pPr>
        <w:jc w:val="both"/>
        <w:rPr>
          <w:rStyle w:val="C3"/>
          <w:rFonts w:ascii="Courier New" w:hAnsi="Courier New"/>
        </w:rPr>
      </w:pPr>
    </w:p>
    <w:p>
      <w:pPr>
        <w:jc w:val="both"/>
        <w:rPr>
          <w:rStyle w:val="C3"/>
          <w:rFonts w:ascii="Courier New" w:hAnsi="Courier New"/>
        </w:rPr>
      </w:pPr>
      <w:r>
        <w:rPr>
          <w:rStyle w:val="C3"/>
          <w:rFonts w:ascii="Courier New" w:hAnsi="Courier New"/>
        </w:rPr>
        <w:t>Cláusula Segunda: La oferta se hará en moneda de curso legal en la República Argentina, es decir que las ofertas se expresarán en PESOS.</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Cláusula Tercera: El plazo de entrega o provisión no será superior a QUINCE (15) días, contados a partir del siguiente a la notificación de la adjudicación. </w:t>
      </w:r>
    </w:p>
    <w:p>
      <w:pPr>
        <w:jc w:val="both"/>
        <w:rPr>
          <w:rStyle w:val="C3"/>
          <w:rFonts w:ascii="Courier New" w:hAnsi="Courier New"/>
        </w:rPr>
      </w:pPr>
    </w:p>
    <w:p>
      <w:pPr>
        <w:jc w:val="both"/>
        <w:rPr>
          <w:rStyle w:val="C3"/>
          <w:rFonts w:ascii="Courier New" w:hAnsi="Courier New"/>
        </w:rPr>
      </w:pPr>
      <w:r>
        <w:rPr>
          <w:rStyle w:val="C3"/>
          <w:rFonts w:ascii="Courier New" w:hAnsi="Courier New"/>
        </w:rPr>
        <w:t>Cláusula Cuarta: La oferta deberá regir por un plazo de TREINTA (30) días, contados a partir del día siguiente a la notificación de la adjudicación.</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Cláusula Quinta: El pago se efectuará dentro del plazo de TREINTA (30) días a partir de la fecha de  recepción de la factura respectiva.  </w:t>
      </w:r>
    </w:p>
    <w:p>
      <w:pPr>
        <w:jc w:val="both"/>
        <w:rPr>
          <w:rStyle w:val="C3"/>
          <w:rFonts w:ascii="Courier New" w:hAnsi="Courier New"/>
        </w:rPr>
      </w:pPr>
    </w:p>
    <w:p>
      <w:pPr>
        <w:jc w:val="both"/>
        <w:rPr>
          <w:rStyle w:val="C3"/>
          <w:rFonts w:ascii="Courier New" w:hAnsi="Courier New"/>
        </w:rPr>
      </w:pPr>
      <w:r>
        <w:rPr>
          <w:rStyle w:val="C3"/>
          <w:rFonts w:ascii="Courier New" w:hAnsi="Courier New"/>
        </w:rPr>
        <w:t>Cláusula Sexta: Fíjase como fecha de apertura de las propuestas, el día .... de ......... del año ...., a las 10,00 horas, en las oficinas de la Secretaría de Obras y Servicios Públicos.</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Cláusula Séptima: Las propuestas serán abiertas en la fecha y hora indicadas en la cláusula anterior por el ............................. de La Municipalidad, con la presencia  del Secretario  de Economía  y / o el Secretario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del Área de la que se haya hecho el requerimiento objeto de este Concurso Privado de Precios, y a opción del Honorable Concejo Deliberante y del Tribunal de Cuentas dos representes de cada uno de dichos cuerpos (uno por la mayoría y otro por la minoría), proponentes, funcionarios y demás asistentes al acto, labrándose el acta correspondiente. Sólo se tomarán en consideración las propuestas que hubieren sido presentadas hasta el instante de apertura, como así también las que se ajusten a las exigencias solicitadas para el acto; (oferta firmada, pliego de condiciones firmado, y demás requisitos exigidos en el Art. 12, de la Ordenanza Presupuestaria Vigente haciéndose notar que una vez abierto el Primer Sobre  no se admitirá la recepción de otro, ni modificaciones de las ofertas presentadas oportunamente, quedando invitados a concurrir al acto los oferentes y / o representantes autorizados. </w:t>
      </w:r>
    </w:p>
    <w:p>
      <w:pPr>
        <w:jc w:val="both"/>
        <w:rPr>
          <w:rStyle w:val="C3"/>
          <w:rFonts w:ascii="Courier New" w:hAnsi="Courier New"/>
          <w:u w:val="single"/>
        </w:rPr>
      </w:pPr>
    </w:p>
    <w:p>
      <w:pPr>
        <w:jc w:val="both"/>
        <w:rPr>
          <w:rStyle w:val="C3"/>
          <w:rFonts w:ascii="Courier New" w:hAnsi="Courier New"/>
        </w:rPr>
      </w:pPr>
      <w:r>
        <w:rPr>
          <w:rStyle w:val="C3"/>
          <w:rFonts w:ascii="Courier New" w:hAnsi="Courier New"/>
        </w:rPr>
        <w:t xml:space="preserve">Cláusula Octava: </w:t>
      </w:r>
    </w:p>
    <w:p>
      <w:pPr>
        <w:jc w:val="both"/>
        <w:rPr>
          <w:rStyle w:val="C3"/>
          <w:rFonts w:ascii="Courier New" w:hAnsi="Courier New"/>
        </w:rPr>
      </w:pPr>
    </w:p>
    <w:p>
      <w:pPr>
        <w:pStyle w:val="P9"/>
      </w:pPr>
      <w:r>
        <w:t>REQUISITOS A LLENAR Y FORMA DE PRESENTACION</w:t>
      </w:r>
    </w:p>
    <w:p>
      <w:pPr>
        <w:jc w:val="both"/>
        <w:rPr>
          <w:rStyle w:val="C3"/>
          <w:rFonts w:ascii="Courier New" w:hAnsi="Courier New"/>
        </w:rPr>
      </w:pPr>
    </w:p>
    <w:p>
      <w:pPr>
        <w:jc w:val="both"/>
        <w:rPr>
          <w:rStyle w:val="C3"/>
          <w:rFonts w:ascii="Courier New" w:hAnsi="Courier New"/>
        </w:rPr>
      </w:pPr>
      <w:r>
        <w:rPr>
          <w:rStyle w:val="C3"/>
          <w:rFonts w:ascii="Courier New" w:hAnsi="Courier New"/>
          <w:u w:val="single"/>
        </w:rPr>
        <w:t>Presentación de la Propuesta</w:t>
      </w:r>
      <w:r>
        <w:rPr>
          <w:rStyle w:val="C3"/>
          <w:rFonts w:ascii="Courier New" w:hAnsi="Courier New"/>
        </w:rPr>
        <w:t>: Las propuestas serán presentadas en dos (2) sobres, sin membrete comercial, cerrados y lacrados, los que se denominarán "Sobre Presentación" y "Sobre Propuesta".</w:t>
      </w:r>
    </w:p>
    <w:p>
      <w:pPr>
        <w:jc w:val="both"/>
        <w:rPr>
          <w:rStyle w:val="C3"/>
          <w:rFonts w:ascii="Courier New" w:hAnsi="Courier New"/>
        </w:rPr>
      </w:pPr>
    </w:p>
    <w:p>
      <w:pPr>
        <w:jc w:val="both"/>
        <w:rPr>
          <w:rStyle w:val="C3"/>
          <w:rFonts w:ascii="Courier New" w:hAnsi="Courier New"/>
        </w:rPr>
      </w:pPr>
      <w:r>
        <w:rPr>
          <w:rStyle w:val="C3"/>
          <w:rFonts w:ascii="Courier New" w:hAnsi="Courier New"/>
          <w:u w:val="single"/>
        </w:rPr>
        <w:t xml:space="preserve">El Sobre  Presentación contendrá:</w:t>
      </w:r>
    </w:p>
    <w:p>
      <w:pPr>
        <w:jc w:val="both"/>
        <w:rPr>
          <w:rStyle w:val="C3"/>
          <w:rFonts w:ascii="Courier New" w:hAnsi="Courier New"/>
        </w:rPr>
      </w:pPr>
    </w:p>
    <w:p>
      <w:pPr>
        <w:jc w:val="both"/>
        <w:rPr>
          <w:rStyle w:val="C3"/>
          <w:rFonts w:ascii="Courier New" w:hAnsi="Courier New"/>
        </w:rPr>
      </w:pPr>
      <w:r>
        <w:rPr>
          <w:rStyle w:val="C3"/>
          <w:rFonts w:ascii="Courier New" w:hAnsi="Courier New"/>
        </w:rPr>
        <w:t>Constancias de deudas Municipales.</w:t>
      </w:r>
    </w:p>
    <w:p>
      <w:pPr>
        <w:jc w:val="both"/>
        <w:rPr>
          <w:rStyle w:val="C3"/>
          <w:rFonts w:ascii="Courier New" w:hAnsi="Courier New"/>
        </w:rPr>
      </w:pPr>
      <w:r>
        <w:rPr>
          <w:rStyle w:val="C3"/>
          <w:rFonts w:ascii="Courier New" w:hAnsi="Courier New"/>
        </w:rPr>
        <w:t>El sellado municipal y toda otra documentación que se solicite en el Pliego Particular respectivo.</w:t>
      </w:r>
    </w:p>
    <w:p>
      <w:pPr>
        <w:jc w:val="both"/>
        <w:rPr>
          <w:rStyle w:val="C3"/>
          <w:rFonts w:ascii="Courier New" w:hAnsi="Courier New"/>
        </w:rPr>
      </w:pPr>
    </w:p>
    <w:p>
      <w:pPr>
        <w:jc w:val="both"/>
        <w:rPr>
          <w:rStyle w:val="C3"/>
          <w:rFonts w:ascii="Courier New" w:hAnsi="Courier New"/>
          <w:u w:val="single"/>
        </w:rPr>
      </w:pPr>
      <w:r>
        <w:rPr>
          <w:rStyle w:val="C3"/>
          <w:rFonts w:ascii="Courier New" w:hAnsi="Courier New"/>
          <w:u w:val="single"/>
        </w:rPr>
        <w:t>El Sobre Propuesta contendrá:</w:t>
      </w:r>
    </w:p>
    <w:p>
      <w:pPr>
        <w:jc w:val="both"/>
        <w:rPr>
          <w:rStyle w:val="C3"/>
          <w:rFonts w:ascii="Courier New" w:hAnsi="Courier New"/>
          <w:u w:val="single"/>
        </w:rPr>
      </w:pPr>
    </w:p>
    <w:p>
      <w:pPr>
        <w:jc w:val="both"/>
        <w:rPr>
          <w:rStyle w:val="C3"/>
          <w:rFonts w:ascii="Courier New" w:hAnsi="Courier New"/>
        </w:rPr>
      </w:pPr>
      <w:r>
        <w:rPr>
          <w:rStyle w:val="C3"/>
          <w:rFonts w:ascii="Courier New" w:hAnsi="Courier New"/>
        </w:rPr>
        <w:t>La oferta por duplicado y la garantía técnica o de servicio, cuando correspondiere.</w:t>
      </w:r>
    </w:p>
    <w:p>
      <w:pPr>
        <w:jc w:val="both"/>
        <w:rPr>
          <w:rStyle w:val="C3"/>
          <w:rFonts w:ascii="Courier New" w:hAnsi="Courier New"/>
        </w:rPr>
      </w:pPr>
      <w:r>
        <w:rPr>
          <w:rStyle w:val="C3"/>
          <w:rFonts w:ascii="Courier New" w:hAnsi="Courier New"/>
        </w:rPr>
        <w:t>Las presentaciones que no llenen la totalidad de los requisitos establecidos, serán agregadas como simple constancia de presentación, y los Sobres Propuestas serán devueltos en el acto sin abrir. Desde ese momento dichas propuestas quedarán automáticamente eliminadas del Concurso.</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...///5.-</w:t>
      </w: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De las Propuestas y Adjudicación</w:t>
      </w:r>
    </w:p>
    <w:p>
      <w:pPr>
        <w:jc w:val="both"/>
        <w:rPr>
          <w:rStyle w:val="C3"/>
          <w:rFonts w:ascii="Courier New" w:hAnsi="Courier New"/>
          <w:u w:val="single"/>
        </w:rPr>
      </w:pPr>
    </w:p>
    <w:p>
      <w:pPr>
        <w:jc w:val="both"/>
        <w:rPr>
          <w:rStyle w:val="C3"/>
          <w:rFonts w:ascii="Courier New" w:hAnsi="Courier New"/>
        </w:rPr>
      </w:pPr>
      <w:r>
        <w:rPr>
          <w:rStyle w:val="C3"/>
          <w:rFonts w:ascii="Courier New" w:hAnsi="Courier New"/>
        </w:rPr>
        <w:t xml:space="preserve">Cláusula Novena: En el lugar, día y hora establecidos en la cláusula sexta se procederá a abrir las propuestas en presencia de los interesados que concurran al acto. Después de leídas las mismas se labrará acta donde consten los precios de las cotizaciones  de cada una de las propuestas, como así también las observaciones que crean conveniente formular los presentes.</w:t>
      </w:r>
    </w:p>
    <w:p>
      <w:pPr>
        <w:jc w:val="both"/>
        <w:rPr>
          <w:rStyle w:val="C3"/>
          <w:rFonts w:ascii="Courier New" w:hAnsi="Courier New"/>
        </w:rPr>
      </w:pPr>
    </w:p>
    <w:p>
      <w:pPr>
        <w:jc w:val="both"/>
        <w:rPr>
          <w:rStyle w:val="C3"/>
          <w:rFonts w:ascii="Courier New" w:hAnsi="Courier New"/>
        </w:rPr>
      </w:pPr>
      <w:r>
        <w:rPr>
          <w:rStyle w:val="C3"/>
          <w:rFonts w:ascii="Courier New" w:hAnsi="Courier New"/>
        </w:rPr>
        <w:t>Cláusula Décima: Cuando no se hubieran presentado proponentes, el Concurso Privado de Precios se declarará desierto mediante Decreto del Departamento Ejecutivo. En caso de que las ofertas no se ajusten al Pliego de Condiciones o modifiquen las bases establecidas, y no se hubiere aplicado el principio general dispuesto en el Art. 12 último párrafo de la Ordenanza Nº 7149, se declararán inadmisibles las mismas, por acto emitido por Autoridad Competente para resolver sobre la adjudicación. En ambos casos el efecto jurídico será el mismo y podrá procederse por Decreto del Departamento Ejecutivo a un nuevo llamado con el mismo Pliego.</w:t>
      </w:r>
    </w:p>
    <w:p>
      <w:pPr>
        <w:jc w:val="both"/>
        <w:rPr>
          <w:rStyle w:val="C3"/>
          <w:rFonts w:ascii="Courier New" w:hAnsi="Courier New"/>
        </w:rPr>
      </w:pPr>
    </w:p>
    <w:p>
      <w:pPr>
        <w:jc w:val="both"/>
        <w:rPr>
          <w:rStyle w:val="C3"/>
          <w:rFonts w:ascii="Courier New" w:hAnsi="Courier New"/>
        </w:rPr>
      </w:pPr>
      <w:r>
        <w:rPr>
          <w:rStyle w:val="C3"/>
          <w:rFonts w:ascii="Courier New" w:hAnsi="Courier New"/>
        </w:rPr>
        <w:t>Cláusula Décimo Primera: La Autoridad Competente para resolver la adjudicación podrá desestimar las propuestas y rechazarlas a todas, sin que ello de derecho a reclamo alguno, debiendo recabar para ello la decisión fundada del Departamento Ejecutivo.</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Cláusula Décimo Segunda: La adjudicación recaerá sobre la propuesta que a juicio de la Autoridad Competente sea la más ventajosa entre aquellas que se ajusten en un todo a las bases y condiciones establecidas para el Concurso Privado de Precios. </w:t>
      </w:r>
    </w:p>
    <w:p>
      <w:pPr>
        <w:jc w:val="both"/>
        <w:rPr>
          <w:rStyle w:val="C3"/>
          <w:rFonts w:ascii="Courier New" w:hAnsi="Courier New"/>
        </w:rPr>
      </w:pPr>
      <w:r>
        <w:rPr>
          <w:rStyle w:val="C3"/>
          <w:rFonts w:ascii="Courier New" w:hAnsi="Courier New"/>
        </w:rPr>
        <w:t xml:space="preserve">Entiéndase por Propuesta más ventajosa o conveniente a aquella que ajustada a las bases de la contratación y presentando equiparación y atributos técnicos similares entre ellas sea la de más bajo precio. La Autoridad Competente podrá decidir frente a la propuesta más conveniente sobre otra que habiendo cumplimentado los requisitos del Pliego y demás especificaciones del llamado,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jc w:val="both"/>
        <w:rPr>
          <w:rStyle w:val="C3"/>
          <w:rFonts w:ascii="Courier New" w:hAnsi="Courier New"/>
        </w:rPr>
      </w:pPr>
    </w:p>
    <w:p>
      <w:pPr>
        <w:jc w:val="both"/>
        <w:rPr>
          <w:rStyle w:val="C3"/>
          <w:rFonts w:ascii="Courier New" w:hAnsi="Courier New"/>
        </w:rPr>
      </w:pPr>
      <w:r>
        <w:rPr>
          <w:rStyle w:val="C3"/>
          <w:rFonts w:ascii="Courier New" w:hAnsi="Courier New"/>
        </w:rPr>
        <w:t>ofrezca mayores atributos técnicos, siempre que no exceda el CINCO POR CIENTO (5%) del precio de la mencionada anteriormente. Igual criterio será de aplicación cuando se trate de contrataciones de Servicios Personales con relación a los antecedentes personales, comerciales o profesionales de los proponentes.//////////////////////////</w:t>
      </w:r>
    </w:p>
    <w:p>
      <w:pPr>
        <w:jc w:val="both"/>
        <w:rPr>
          <w:rStyle w:val="C3"/>
          <w:rFonts w:ascii="Courier New" w:hAnsi="Courier New"/>
        </w:rPr>
      </w:pPr>
    </w:p>
    <w:p>
      <w:pPr>
        <w:jc w:val="both"/>
        <w:rPr>
          <w:rStyle w:val="C3"/>
        </w:rPr>
      </w:pPr>
      <w:r>
        <w:rPr>
          <w:rStyle w:val="C3"/>
          <w:rFonts w:ascii="Courier New" w:hAnsi="Courier New"/>
        </w:rPr>
        <w:t>---------------------------------------------------------------------------------------------------------------------------------------------------------------------------------</w:t>
      </w:r>
    </w:p>
    <w:p>
      <w:pPr>
        <w:rPr>
          <w:rStyle w:val="C3"/>
          <w:rFonts w:ascii="Courier New" w:hAnsi="Courier New"/>
          <w:u w:val="single"/>
        </w:rPr>
      </w:pPr>
    </w:p>
    <w:p>
      <w:pPr>
        <w:ind w:hanging="851" w:left="851"/>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Courier New" w:hAnsi="Courier New"/>
        </w:rPr>
      </w:pPr>
    </w:p>
    <w:sectPr>
      <w:type w:val="continuous"/>
      <w:pgSz w:w="11908" w:h="16833" w:code="0"/>
      <w:pgMar w:left="1701" w:right="1701" w:top="1418" w:bottom="1418" w:header="708" w:footer="708" w:gutter="0"/>
      <w:pgNumType w:start="1"/>
    </w:sectPr>
  </w:body>
</w:document>
</file>

<file path=word/numbering.xml><?xml version="1.0" encoding="utf-8"?>
<w:numbering xmlns:w="http://schemas.openxmlformats.org/wordprocessingml/2006/main">
  <w:abstractNum w:abstractNumId="0">
    <w:nsid w:val="1C812520"/>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bering>
</file>

<file path=word/settings.xml><?xml version="1.0" encoding="utf-8"?>
<w:settings xmlns:w="http://schemas.openxmlformats.org/wordprocessingml/2006/main">
  <w:displayBackgroundShape w:val="0"/>
  <w:documentProtection w:edit="readOnly"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firstLine="360" w:left="2880"/>
      <w:jc w:val="both"/>
      <w:outlineLvl w:val="0"/>
    </w:pPr>
    <w:rPr>
      <w:rFonts w:ascii="Courier New" w:hAnsi="Courier New"/>
      <w:b w:val="1"/>
    </w:rPr>
  </w:style>
  <w:style w:type="paragraph" w:styleId="P2">
    <w:name w:val="Título 2"/>
    <w:basedOn w:val="P0"/>
    <w:next w:val="P0"/>
    <w:pPr>
      <w:keepNext w:val="1"/>
      <w:jc w:val="center"/>
      <w:outlineLvl w:val="1"/>
    </w:pPr>
    <w:rPr>
      <w:rFonts w:ascii="Courier New" w:hAnsi="Courier New"/>
      <w:b w:val="1"/>
    </w:rPr>
  </w:style>
  <w:style w:type="paragraph" w:styleId="P3">
    <w:name w:val="Título 3"/>
    <w:basedOn w:val="P0"/>
    <w:next w:val="P0"/>
    <w:pPr>
      <w:keepNext w:val="1"/>
      <w:jc w:val="center"/>
      <w:outlineLvl w:val="2"/>
    </w:pPr>
    <w:rPr>
      <w:rFonts w:ascii="Courier New" w:hAnsi="Courier New"/>
      <w:b w:val="1"/>
      <w:u w:val="single"/>
    </w:rPr>
  </w:style>
  <w:style w:type="paragraph" w:styleId="P4">
    <w:name w:val="Título 4"/>
    <w:basedOn w:val="P0"/>
    <w:next w:val="P0"/>
    <w:pPr>
      <w:keepNext w:val="1"/>
      <w:jc w:val="center"/>
      <w:outlineLvl w:val="3"/>
    </w:pPr>
    <w:rPr>
      <w:rFonts w:ascii="Tahoma" w:hAnsi="Tahoma"/>
      <w:b w:val="1"/>
      <w:sz w:val="20"/>
      <w:u w:val="single"/>
    </w:rPr>
  </w:style>
  <w:style w:type="paragraph" w:styleId="P5">
    <w:name w:val="Título 5"/>
    <w:basedOn w:val="P0"/>
    <w:next w:val="P0"/>
    <w:pPr>
      <w:keepNext w:val="1"/>
      <w:outlineLvl w:val="4"/>
    </w:pPr>
    <w:rPr>
      <w:rFonts w:ascii="Tahoma" w:hAnsi="Tahoma"/>
      <w:b w:val="1"/>
      <w:u w:val="single"/>
    </w:rPr>
  </w:style>
  <w:style w:type="paragraph" w:styleId="P6">
    <w:name w:val="Título 6"/>
    <w:basedOn w:val="P0"/>
    <w:next w:val="P0"/>
    <w:pPr>
      <w:keepNext w:val="1"/>
      <w:jc w:val="both"/>
      <w:outlineLvl w:val="5"/>
    </w:pPr>
    <w:rPr>
      <w:rFonts w:ascii="Tahoma" w:hAnsi="Tahoma"/>
      <w:b w:val="1"/>
      <w:sz w:val="20"/>
    </w:rPr>
  </w:style>
  <w:style w:type="paragraph" w:styleId="P7">
    <w:name w:val="Título 7"/>
    <w:basedOn w:val="P0"/>
    <w:next w:val="P0"/>
    <w:pPr>
      <w:keepNext w:val="1"/>
      <w:ind w:firstLine="709"/>
      <w:jc w:val="center"/>
      <w:outlineLvl w:val="6"/>
    </w:pPr>
    <w:rPr>
      <w:rFonts w:ascii="Courier New" w:hAnsi="Courier New"/>
      <w:b w:val="1"/>
    </w:rPr>
  </w:style>
  <w:style w:type="paragraph" w:styleId="P8">
    <w:name w:val="Título 8"/>
    <w:basedOn w:val="P0"/>
    <w:next w:val="P0"/>
    <w:pPr>
      <w:keepNext w:val="1"/>
      <w:jc w:val="both"/>
      <w:outlineLvl w:val="7"/>
    </w:pPr>
    <w:rPr>
      <w:rFonts w:ascii="Courier New" w:hAnsi="Courier New"/>
      <w:b w:val="1"/>
    </w:rPr>
  </w:style>
  <w:style w:type="paragraph" w:styleId="P9">
    <w:name w:val="Título 9"/>
    <w:basedOn w:val="P0"/>
    <w:next w:val="P0"/>
    <w:pPr>
      <w:keepNext w:val="1"/>
      <w:jc w:val="both"/>
      <w:outlineLvl w:val="8"/>
    </w:pPr>
    <w:rPr>
      <w:rFonts w:ascii="Courier New" w:hAnsi="Courier New"/>
      <w:u w:val="single"/>
    </w:rPr>
  </w:style>
  <w:style w:type="paragraph" w:styleId="P10">
    <w:name w:val="Texto independiente"/>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Pr>
      <w:b w:val="1"/>
      <w:sz w:val="28"/>
    </w:rPr>
  </w:style>
  <w:style w:type="paragraph" w:styleId="P11">
    <w:name w:val="Texto independiente 3"/>
    <w:basedOn w:val="P0"/>
    <w:next w:val="P11"/>
    <w:pPr>
      <w:spacing w:lineRule="auto" w:line="360"/>
      <w:jc w:val="both"/>
    </w:pPr>
    <w:rPr>
      <w:b w:val="1"/>
    </w:rPr>
  </w:style>
  <w:style w:type="paragraph" w:styleId="P12">
    <w:name w:val="Texto independiente 2"/>
    <w:basedOn w:val="P0"/>
    <w:next w:val="P12"/>
    <w:pPr>
      <w:jc w:val="both"/>
    </w:pPr>
    <w:rPr>
      <w:b w:val="1"/>
      <w:sz w:val="28"/>
    </w:rPr>
  </w:style>
  <w:style w:type="paragraph" w:styleId="P13">
    <w:name w:val="Sangría 2 de t. independiente"/>
    <w:basedOn w:val="P0"/>
    <w:next w:val="P13"/>
    <w:pPr>
      <w:ind w:left="709"/>
      <w:jc w:val="both"/>
    </w:pPr>
    <w:rPr/>
  </w:style>
  <w:style w:type="paragraph" w:styleId="P14">
    <w:name w:val="Título"/>
    <w:basedOn w:val="P0"/>
    <w:next w:val="P14"/>
    <w:pPr>
      <w:widowControl w:val="0"/>
      <w:jc w:val="center"/>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dc:creator>
  <dcterms:created xsi:type="dcterms:W3CDTF">2005-06-14T13:43:00Z</dcterms:created>
  <cp:lastModifiedBy>Ethan Puglia</cp:lastModifiedBy>
  <cp:lastPrinted>2005-06-14T14:19:00Z</cp:lastPrinted>
  <dcterms:modified xsi:type="dcterms:W3CDTF">2019-03-28T17:34:06Z</dcterms:modified>
  <cp:revision>8</cp:revision>
  <dc:title>PROYECTO DE ORDENANZA: AMPLIAR EL PLAZO DE PAGO DE DEUDAS A VALORES HISTORICOS Y FACILIDADES DE PAGO ORDENANZA N° 5505 Y MODIF</dc:title>
</cp:coreProperties>
</file>