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3390D65" Type="http://schemas.openxmlformats.org/officeDocument/2006/relationships/officeDocument" Target="/word/document.xml" /><Relationship Id="coreR13390D6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7244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N° 748/03;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el mismo es iniciado mediante nota presentada por Castro Balbina Nora, D.N.I. N° 5.882.275, quien solicita eximición de Tasa por Servicios a la Propiedad de la designación catastral 03-01-083-006-000;</w:t>
      </w:r>
    </w:p>
    <w:p>
      <w:pPr>
        <w:pStyle w:val="P2"/>
        <w:ind w:hanging="709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vive con su esposo, el cual no tiene trabajo fijo sino que vive de changas;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 acuerdo a la manifestado por la Sección Catastro se trata de propietarios de vivienda única;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 acuerdo al informe socioeconómico el matrimonio presenta problemas de salud con gastos en medicamentos;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 acuerdo a la Dirección de Ingresos Públicos la solicitante ha manifestado que no puede abonar ninguna cuota;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deuda de Tasa por Servicios a la Propiedad con el Municipio de la designación catastral mencionada data desde el año 2002;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 en el marco de las Ordenanzas vigentes, despacho aprobado por unanimidad en Sesión Ordinaria de fecha 9 de junio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EXÍMASE </w:t>
      </w:r>
      <w:r>
        <w:rPr>
          <w:rStyle w:val="C3"/>
          <w:sz w:val="24"/>
        </w:rPr>
        <w:t>a los propietarios de los siguientes inmuebles, en los porcentajes abajo detallados, de la deuda que en concepto de Tasa por Servicios a la Propiedad mantienen con el Municipio respecto de las designaciones catastrales correspondientes: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1913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1134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% Exención</w:t>
            </w:r>
          </w:p>
        </w:tc>
        <w:tc>
          <w:tcPr>
            <w:tcW w:w="992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1913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Machiavello, Oscar Raúl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3-01-083-004-000</w:t>
            </w:r>
          </w:p>
        </w:tc>
        <w:tc>
          <w:tcPr>
            <w:tcW w:w="1134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748/03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100</w:t>
            </w:r>
          </w:p>
        </w:tc>
        <w:tc>
          <w:tcPr>
            <w:tcW w:w="992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La promulgación de la presente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OTÓRGUESE</w:t>
      </w:r>
      <w:r>
        <w:rPr>
          <w:rStyle w:val="C3"/>
          <w:sz w:val="24"/>
        </w:rPr>
        <w:t xml:space="preserve"> el beneficio de la Ordenanza 5485, Art.3 a los propietarios de los siguientes inmuebles fijando los montos a abonar que se detallan a continuación, en concepto de Tasa por Servicios a la Propiedad de las correspondientes designaciones catastrales: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1913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Designación Catast.</w:t>
            </w:r>
          </w:p>
        </w:tc>
        <w:tc>
          <w:tcPr>
            <w:tcW w:w="1134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27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Cuota mensual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1439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1913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Machiavello, Oscar Raúl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3-01-083-004-000</w:t>
            </w:r>
          </w:p>
        </w:tc>
        <w:tc>
          <w:tcPr>
            <w:tcW w:w="1134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748/03</w:t>
            </w:r>
          </w:p>
        </w:tc>
        <w:tc>
          <w:tcPr>
            <w:tcW w:w="127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$3.-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Promulgación de la presente</w:t>
            </w:r>
          </w:p>
        </w:tc>
        <w:tc>
          <w:tcPr>
            <w:tcW w:w="1439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 xml:space="preserve">Dic. 2006 inclusive </w:t>
            </w:r>
          </w:p>
        </w:tc>
      </w:tr>
    </w:tbl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 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NUEVE DÍAS DEL MES DE JUNIO DEL AÑO DOS MIL CINCO.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sectPr>
      <w:type w:val="nextPage"/>
      <w:pgSz w:w="11907" w:h="16840" w:code="0"/>
      <w:pgMar w:left="132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2005-03-23T21:52:00Z</dcterms:created>
  <cp:lastModifiedBy>Ethan Puglia</cp:lastModifiedBy>
  <cp:lastPrinted>2005-06-23T11:28:00Z</cp:lastPrinted>
  <dcterms:modified xsi:type="dcterms:W3CDTF">2019-03-28T17:34:06Z</dcterms:modified>
  <cp:revision>9</cp:revision>
  <dc:title>1¾   «        M</dc:title>
</cp:coreProperties>
</file>