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DE9168" Type="http://schemas.openxmlformats.org/officeDocument/2006/relationships/officeDocument" Target="/word/document.xml" /><Relationship Id="coreREDE91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7246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Visto: El Expediente N° 2028/02;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mediante el mismo A.P. y D.A. (Asociación, Protección y Defensa del Animal), solicita la cesión de un predio destinado a la “reubicación de perras y perros huérfanos”; 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3  y mediante Ordenanza N° 6434, se le otorgan dos lotes en comodato;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Art. 2 de la referida norma establece como duración del comodato: “Mientras la institución beneficiaria se mantenga activa y se dé el destino para el que se concede”;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la citada institución no ha dado cumplimiento a los fines que generaron la sanción de la Ordenanza N° 6434;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7 del mismo Expediente consta el informe de la Jefa del Departamento de la Vivienda de la Municipalidad de Alta Gracia, Arq. Gladis A. Ramallo M.P. 1-3213, la cual solicita, merced al relevamiento oportunamente realizado, la anulación de la Ordenanza N° 6434, a los fines de que la Municipalidad pueda disponer de los lotes para su posterior donación a quien corresponda;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acceder a lo solicitado contribuiría a la enmienda de erráticas donaciones anteriormente realizadas y a la solución de potenciales riesgos judiciales para el Municipio;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evaluado el contenido del Expediente por la Comisión de Legislación General de este Honorable Cuerpo, la misma emite despacho favorable accediendo a lo solicitado, aprobado por unanimidad en Sesión Ordinaria de fecha 09 de junio de 2005.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jc w:val="right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right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DERÓGASE</w:t>
      </w:r>
      <w:r>
        <w:rPr>
          <w:rStyle w:val="C3"/>
          <w:rFonts w:ascii="Courier New" w:hAnsi="Courier New"/>
          <w:b w:val="0"/>
        </w:rPr>
        <w:t xml:space="preserve"> la Ordenanza N° 6434.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NUEVE DÍAS DEL MES DE JUNIO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701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2005-06-17T14:28:00Z</dcterms:created>
  <cp:lastModifiedBy>Ethan Puglia</cp:lastModifiedBy>
  <cp:lastPrinted>2005-06-17T13:56:00Z</cp:lastPrinted>
  <dcterms:modified xsi:type="dcterms:W3CDTF">2019-03-28T17:34:06Z</dcterms:modified>
  <cp:revision>7</cp:revision>
  <dc:title>Visto: El Expediente N§ 253/I/2000 iniciado por el Departa-</dc:title>
</cp:coreProperties>
</file>