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3B358A" Type="http://schemas.openxmlformats.org/officeDocument/2006/relationships/officeDocument" Target="/word/document.xml" /><Relationship Id="coreR4F3B358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7248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N° 770/03;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en el mismo por nota de abril de 2003, el Sr. Juan García, domiciliado en Urquiza N° 208, solicita unificación de un inmueble (galpón) ubicado en calle Matheu N° 1157 y además financiar la deuda que presenta con el Municipio por dichos terrenos y su casa ubicada en Urquiza n° 208;</w:t>
      </w:r>
    </w:p>
    <w:p>
      <w:pPr>
        <w:pStyle w:val="P2"/>
        <w:ind w:hanging="709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 el solicitante manifiesta que la Ordenanza Municipal de aquel entonces lo obligó dejar 10 mts. de playa en cada frente, por lo cual dicho galpón se construyó sobre dos lotes;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22 vta., el estudio socioeconómico informa a abril de 2004, que el Sr. García presenta un ingreso mensual de aproximadamente QUINIENTOS CINCUENTA PESOS ($550);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ambos cónyuges presentan problemas de salud y la vivienda ubicada en calle Urquiza N° 208 fue puesta con escritura a nombre de sus sobrinos con un usufructo vitalicio para ambos cónyuges;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manifiesta intenciones de pago, reconoce su responsabilidad ante la deuda, pero solicita un Plan de Pagos acorde a sus ingresos;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art. 6 de la Ordenanza N° 2699 prevé la unificación de cuentas con fines tributarios siempre que se cancelen con anterioridad los importes adeudados en concepto de la Tasa por Servicios a la Propiedad;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acuerdo con lo informado por la oficina de Catastro, los inmuebles por los cuales se solicita unificación son los designados como 01-01-091-005 y 03-01-091-012, lotes 5 y 12 de la mz. of .E8; </w:t>
      </w:r>
    </w:p>
    <w:p>
      <w:pPr>
        <w:pStyle w:val="P2"/>
        <w:ind w:hang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oficina de Obras Privadas informa que consta en el Expediente de construcción N° 37/86, una superficie de 215,18 m</w:t>
      </w:r>
      <w:r>
        <w:rPr>
          <w:rStyle w:val="C3"/>
          <w:rFonts w:ascii="Courier New" w:hAnsi="Courier New"/>
          <w:vertAlign w:val="superscript"/>
        </w:rPr>
        <w:t>2</w:t>
      </w:r>
      <w:r>
        <w:rPr>
          <w:rStyle w:val="C3"/>
          <w:rFonts w:ascii="Courier New" w:hAnsi="Courier New"/>
        </w:rPr>
        <w:t xml:space="preserve"> de edificación abarcando las dos parcelas;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f.s 4 consta copia de declaración jurada de que la superficie relevada corresponde al año 1994;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ha regularizado ante el Procurador actuante la situación de juicio del inmueble designación catastral 03-01-091-012;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 en el marco de las Ordenanzas vigentes, despacho aprobado por unanimidad en Sesión Ordinaria de fecha 16 de junio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UNIFÍCANSE</w:t>
      </w:r>
      <w:r>
        <w:rPr>
          <w:rStyle w:val="C3"/>
          <w:sz w:val="24"/>
        </w:rPr>
        <w:t xml:space="preserve"> con fines del pago de la Tasa por Servicios a la Propiedad los inmuebles designados catastralmente como 03-01-091-005 y 03-01-091-012, contribuyente N° 6489, registrados a nombre de García Juan Antonio, con efecto a partir del 01 de enero de 1996.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REALÍCESE </w:t>
      </w:r>
      <w:r>
        <w:rPr>
          <w:rStyle w:val="C3"/>
          <w:sz w:val="24"/>
        </w:rPr>
        <w:t xml:space="preserve">Plan de Pagos acorde a las posibilidades del solicitante para las deudas que en concepto de Tasa por Servicios a la Propiedad mantiene con el Municipio a la promulgación de la presente para las designaciones catastrales 3-01-091-012-000, 3-01-091-005-000 y la designación catastral perteneciente al inmueble ubicado en calle Urquiza N° 208.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...///3.-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</w:t>
      </w:r>
      <w:r>
        <w:rPr>
          <w:rStyle w:val="C3"/>
          <w:rFonts w:ascii="Courier New" w:hAnsi="Courier New"/>
          <w:b w:val="1"/>
          <w:sz w:val="24"/>
        </w:rPr>
        <w:t xml:space="preserve">: </w:t>
      </w:r>
      <w:r>
        <w:rPr>
          <w:rStyle w:val="C3"/>
          <w:rFonts w:ascii="Courier New" w:hAnsi="Courier New"/>
          <w:b w:val="1"/>
          <w:sz w:val="24"/>
        </w:rPr>
        <w:t>CONJUNTAMENTE</w:t>
      </w:r>
      <w:r>
        <w:rPr>
          <w:rStyle w:val="C3"/>
          <w:rFonts w:ascii="Courier New" w:hAnsi="Courier New"/>
          <w:sz w:val="24"/>
        </w:rPr>
        <w:t xml:space="preserve"> con la presente norma por la cual se accede a lo solicitado por el titular, el mismo deberá regularizar la situación de atraso observado en el pago de la presente Tasa, a los nuevos valores resultantes de este beneficio.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DEICISIES DÍAS DEL MES DE JUNIO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2005-06-23T13:56:00Z</dcterms:created>
  <cp:lastModifiedBy>Ethan Puglia</cp:lastModifiedBy>
  <cp:lastPrinted>2005-06-23T14:31:00Z</cp:lastPrinted>
  <dcterms:modified xsi:type="dcterms:W3CDTF">2019-03-28T17:34:06Z</dcterms:modified>
  <cp:revision>8</cp:revision>
  <dc:title>1¾   «        M</dc:title>
</cp:coreProperties>
</file>