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AEF47C4" Type="http://schemas.openxmlformats.org/officeDocument/2006/relationships/officeDocument" Target="/word/document.xml" /><Relationship Id="coreR3AEF47C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rFonts w:ascii="Courier New" w:hAnsi="Courier New"/>
          <w:sz w:val="24"/>
          <w:u w:val="single"/>
        </w:rPr>
      </w:pPr>
      <w:r>
        <w:rPr>
          <w:rStyle w:val="C3"/>
          <w:rFonts w:ascii="Courier New" w:hAnsi="Courier New"/>
          <w:sz w:val="24"/>
          <w:u w:val="single"/>
        </w:rPr>
        <w:t>ORDENANZA N° 7253</w:t>
      </w:r>
    </w:p>
    <w:p>
      <w:pPr>
        <w:pStyle w:val="P1"/>
        <w:rPr>
          <w:rStyle w:val="C3"/>
          <w:rFonts w:ascii="Courier New" w:hAnsi="Courier New"/>
          <w:b w:val="1"/>
          <w:sz w:val="24"/>
        </w:rPr>
      </w:pPr>
    </w:p>
    <w:p>
      <w:pPr>
        <w:pStyle w:val="P1"/>
        <w:rPr>
          <w:rStyle w:val="C3"/>
          <w:rFonts w:ascii="Courier New" w:hAnsi="Courier New"/>
          <w:b w:val="1"/>
          <w:sz w:val="24"/>
        </w:rPr>
      </w:pPr>
      <w:r>
        <w:rPr>
          <w:rStyle w:val="C3"/>
          <w:rFonts w:ascii="Courier New" w:hAnsi="Courier New"/>
          <w:b w:val="0"/>
          <w:sz w:val="24"/>
        </w:rPr>
        <w:t>Visto: La obra de peatonalización de calle Solares; y</w:t>
      </w:r>
    </w:p>
    <w:p>
      <w:pPr>
        <w:pStyle w:val="P1"/>
        <w:rPr>
          <w:rStyle w:val="C3"/>
          <w:rFonts w:ascii="Courier New" w:hAnsi="Courier New"/>
          <w:b w:val="1"/>
          <w:sz w:val="24"/>
        </w:rPr>
      </w:pPr>
    </w:p>
    <w:p>
      <w:pPr>
        <w:rPr>
          <w:rStyle w:val="C3"/>
        </w:rPr>
      </w:pPr>
    </w:p>
    <w:p>
      <w:pPr>
        <w:pStyle w:val="P1"/>
        <w:jc w:val="center"/>
        <w:rPr>
          <w:rStyle w:val="C3"/>
          <w:rFonts w:ascii="Courier New" w:hAnsi="Courier New"/>
          <w:sz w:val="24"/>
        </w:rPr>
      </w:pPr>
      <w:r>
        <w:rPr>
          <w:rStyle w:val="C3"/>
          <w:rFonts w:ascii="Courier New" w:hAnsi="Courier New"/>
          <w:sz w:val="24"/>
        </w:rPr>
        <w:t>C O N S I D E R A N D O</w:t>
      </w:r>
    </w:p>
    <w:p>
      <w:pPr>
        <w:jc w:val="center"/>
        <w:rPr>
          <w:rStyle w:val="C3"/>
          <w:rFonts w:ascii="Courier New" w:hAnsi="Courier New"/>
          <w:b w:val="1"/>
        </w:rPr>
      </w:pPr>
    </w:p>
    <w:p>
      <w:pPr>
        <w:jc w:val="center"/>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en 1868 por voluntad testamentaria del último propietario de la </w:t>
      </w:r>
      <w:r>
        <w:rPr>
          <w:rStyle w:val="C3"/>
          <w:rFonts w:ascii="Courier New" w:hAnsi="Courier New"/>
          <w:b w:val="0"/>
          <w:i w:val="1"/>
          <w:u w:val="single"/>
        </w:rPr>
        <w:t>Estancia</w:t>
      </w:r>
      <w:r>
        <w:rPr>
          <w:rStyle w:val="C3"/>
          <w:rFonts w:ascii="Courier New" w:hAnsi="Courier New"/>
          <w:b w:val="0"/>
        </w:rPr>
        <w:t>, se deslindan los terrenos para la conformación de una villa, hoy ciudad de Alta Gracia, quedando la Residencia jesuítica en el centro del núcleo urbano al que dio origen;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Córdoba fue la capital de la Provincia jesuítica del Paraguay, la importancia de su Universidad y de las </w:t>
      </w:r>
      <w:r>
        <w:rPr>
          <w:rStyle w:val="C3"/>
          <w:rFonts w:ascii="Courier New" w:hAnsi="Courier New"/>
          <w:b w:val="0"/>
          <w:i w:val="1"/>
          <w:u w:val="single"/>
        </w:rPr>
        <w:t>estancias</w:t>
      </w:r>
      <w:r>
        <w:rPr>
          <w:rStyle w:val="C3"/>
          <w:rFonts w:ascii="Courier New" w:hAnsi="Courier New"/>
          <w:b w:val="0"/>
        </w:rPr>
        <w:t xml:space="preserve"> que la sostuvieron trascendió los confines de la región;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exilio jesuítico significo el abandono de las </w:t>
      </w:r>
      <w:r>
        <w:rPr>
          <w:rStyle w:val="C3"/>
          <w:rFonts w:ascii="Courier New" w:hAnsi="Courier New"/>
          <w:b w:val="0"/>
          <w:i w:val="1"/>
          <w:u w:val="single"/>
        </w:rPr>
        <w:t>estancias</w:t>
      </w:r>
      <w:r>
        <w:rPr>
          <w:rStyle w:val="C3"/>
          <w:rFonts w:ascii="Courier New" w:hAnsi="Courier New"/>
          <w:b w:val="0"/>
        </w:rPr>
        <w:t xml:space="preserve"> y la perpetuación de un sistema corrupto que se apoderó de sus bienes, usufructuó sus ganados y sus esclavos, mientras los edificios comenzaron a sufrir el consecuente deterioro;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una de las dos metas de los jesuitas en América que se sumaba a la evangelización del indio, en una gesta que fue ejemplo en el mundo y que se reconoce como una de las grandes proezas dignas de la historia de la humanidad, donde prevaleció el amor sobre la guerra, la honestidad sobre la corrupción hispánica, el trabajo sobre la ociosidad, la educación y la verdad sobre la ignorancia y la mentira, en definitiva la vida sobre la muerte, el bien sobre el mal;</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por ello resulta difícil separar los instantes históricos de aquella primitiva </w:t>
      </w:r>
      <w:r>
        <w:rPr>
          <w:rStyle w:val="C3"/>
          <w:rFonts w:ascii="Courier New" w:hAnsi="Courier New"/>
          <w:b w:val="0"/>
          <w:i w:val="1"/>
          <w:u w:val="single"/>
        </w:rPr>
        <w:t>estancia</w:t>
      </w:r>
      <w:r>
        <w:rPr>
          <w:rStyle w:val="C3"/>
          <w:rFonts w:ascii="Courier New" w:hAnsi="Courier New"/>
          <w:b w:val="0"/>
        </w:rPr>
        <w:t xml:space="preserve"> jesuítica, porque en realidad deberíamos considerarla en su totalidad y definirla como un ámbito particular donde se desarrollaron grupos humanos que abrazaron tan dignas actitudes de nobleza para el espíritu;</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...///2.-</w:t>
      </w:r>
    </w:p>
    <w:p>
      <w:pPr>
        <w:ind w:hanging="709"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quizás ése sea el símbolo definitivo de la </w:t>
      </w:r>
      <w:r>
        <w:rPr>
          <w:rStyle w:val="C3"/>
          <w:rFonts w:ascii="Courier New" w:hAnsi="Courier New"/>
          <w:b w:val="0"/>
          <w:i w:val="1"/>
          <w:u w:val="single"/>
        </w:rPr>
        <w:t>Estancia</w:t>
      </w:r>
      <w:r>
        <w:rPr>
          <w:rStyle w:val="C3"/>
          <w:rFonts w:ascii="Courier New" w:hAnsi="Courier New"/>
          <w:b w:val="0"/>
        </w:rPr>
        <w:t>, que resume una historia enarbolada con las más altas dignidades morales del hombre: solidaridad, compromiso, afecto y espiritualidad;</w:t>
      </w:r>
    </w:p>
    <w:p>
      <w:pPr>
        <w:ind w:left="709"/>
        <w:jc w:val="both"/>
        <w:rPr>
          <w:rStyle w:val="C3"/>
          <w:rFonts w:ascii="Courier New" w:hAnsi="Courier New"/>
          <w:b w:val="1"/>
        </w:rPr>
      </w:pPr>
    </w:p>
    <w:p>
      <w:pPr>
        <w:pStyle w:val="P4"/>
        <w:ind w:left="709"/>
        <w:rPr>
          <w:rStyle w:val="C3"/>
          <w:rFonts w:ascii="Courier New" w:hAnsi="Courier New"/>
          <w:b w:val="1"/>
          <w:sz w:val="24"/>
        </w:rPr>
      </w:pPr>
      <w:r>
        <w:rPr>
          <w:rStyle w:val="C3"/>
          <w:rFonts w:ascii="Courier New" w:hAnsi="Courier New"/>
          <w:b w:val="0"/>
          <w:sz w:val="24"/>
        </w:rPr>
        <w:t>Que fueron actitudes de quienes la conformaron, construyeron, adaptaron y vivieron, cuyas huellas se inscriben en las grandes páginas de la historia;</w:t>
      </w:r>
    </w:p>
    <w:p>
      <w:pPr>
        <w:pStyle w:val="P4"/>
        <w:ind w:left="709"/>
        <w:rPr>
          <w:rStyle w:val="C3"/>
          <w:rFonts w:ascii="Courier New" w:hAnsi="Courier New"/>
          <w:b w:val="1"/>
          <w:sz w:val="24"/>
        </w:rPr>
      </w:pPr>
    </w:p>
    <w:p>
      <w:pPr>
        <w:ind w:left="709"/>
        <w:jc w:val="both"/>
        <w:rPr>
          <w:rStyle w:val="C3"/>
          <w:rFonts w:ascii="Courier New" w:hAnsi="Courier New"/>
          <w:b w:val="1"/>
        </w:rPr>
      </w:pPr>
      <w:r>
        <w:rPr>
          <w:rStyle w:val="C3"/>
          <w:rFonts w:ascii="Courier New" w:hAnsi="Courier New"/>
          <w:b w:val="0"/>
        </w:rPr>
        <w:t xml:space="preserve">Que dentro de la ciudad de Alta Gracia el edificio de la </w:t>
      </w:r>
      <w:r>
        <w:rPr>
          <w:rStyle w:val="C3"/>
          <w:rFonts w:ascii="Courier New" w:hAnsi="Courier New"/>
          <w:b w:val="0"/>
          <w:i w:val="1"/>
          <w:u w:val="single"/>
        </w:rPr>
        <w:t>Estancia</w:t>
      </w:r>
      <w:r>
        <w:rPr>
          <w:rStyle w:val="C3"/>
          <w:rFonts w:ascii="Courier New" w:hAnsi="Courier New"/>
          <w:b w:val="0"/>
        </w:rPr>
        <w:t xml:space="preserve"> se constituye en un importante hito urbano;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carácter emblemático que adquiere en el territorio provincial es aún más importante al ser parte de un sistema de haciendas que daban sustento a la educación;</w:t>
      </w:r>
    </w:p>
    <w:p>
      <w:pPr>
        <w:pStyle w:val="P4"/>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en el pasado siglo ocurren</w:t>
      </w:r>
      <w:r>
        <w:rPr>
          <w:rStyle w:val="C3"/>
          <w:rFonts w:ascii="Courier New" w:hAnsi="Courier New"/>
          <w:b w:val="0"/>
          <w:color w:val="FF0000"/>
          <w:sz w:val="24"/>
        </w:rPr>
        <w:t xml:space="preserve"> </w:t>
      </w:r>
      <w:r>
        <w:rPr>
          <w:rStyle w:val="C3"/>
          <w:rFonts w:ascii="Courier New" w:hAnsi="Courier New"/>
          <w:b w:val="0"/>
          <w:color w:val="000000"/>
          <w:sz w:val="24"/>
        </w:rPr>
        <w:t>diversos y sucesivos</w:t>
      </w:r>
      <w:r>
        <w:rPr>
          <w:rStyle w:val="C3"/>
          <w:rFonts w:ascii="Courier New" w:hAnsi="Courier New"/>
          <w:b w:val="0"/>
          <w:sz w:val="24"/>
        </w:rPr>
        <w:t xml:space="preserve"> actos administrativos, técnicos y legislativos a los fines de recuperar parte de la emblemática Estancia al dominio público;</w:t>
      </w:r>
    </w:p>
    <w:p>
      <w:pPr>
        <w:ind w:left="709"/>
        <w:jc w:val="both"/>
        <w:rPr>
          <w:rStyle w:val="C3"/>
          <w:rFonts w:ascii="Courier New" w:hAnsi="Courier New"/>
          <w:b w:val="1"/>
        </w:rPr>
      </w:pPr>
      <w:r>
        <w:rPr>
          <w:rStyle w:val="C3"/>
          <w:rFonts w:ascii="Courier New" w:hAnsi="Courier New"/>
          <w:b w:val="0"/>
        </w:rPr>
        <w:t xml:space="preserve"> </w:t>
      </w:r>
    </w:p>
    <w:p>
      <w:pPr>
        <w:ind w:left="709"/>
        <w:jc w:val="both"/>
        <w:rPr>
          <w:rStyle w:val="C3"/>
          <w:rFonts w:ascii="Courier New" w:hAnsi="Courier New"/>
          <w:b w:val="1"/>
        </w:rPr>
      </w:pPr>
      <w:r>
        <w:rPr>
          <w:rStyle w:val="C3"/>
          <w:rFonts w:ascii="Courier New" w:hAnsi="Courier New"/>
          <w:b w:val="0"/>
        </w:rPr>
        <w:t>Que, allá por 1965 y a través del Decreto 8293, el por entonces Presidente de la República, Dr. Arturo H. Illia declara de utilidad pública la “</w:t>
      </w:r>
      <w:r>
        <w:rPr>
          <w:rStyle w:val="C3"/>
          <w:rFonts w:ascii="Courier New" w:hAnsi="Courier New"/>
          <w:b w:val="0"/>
          <w:i w:val="1"/>
        </w:rPr>
        <w:t xml:space="preserve">Estancia </w:t>
      </w:r>
      <w:r>
        <w:rPr>
          <w:rStyle w:val="C3"/>
          <w:rFonts w:ascii="Courier New" w:hAnsi="Courier New"/>
          <w:b w:val="0"/>
        </w:rPr>
        <w:t>Jesuítica de Alta Gracia”;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"Por ser un ejemplo de conjunto arquitectónico que ilustra una etapa significativa de la historia de la humanidad - la manifestación de un intercambio considerable de valores humanos, asociados con ideas, creencias y obras artísticas de significado universal excepcional" la UNESCO declaró Patrimonio de la Humanidad, a la Manzana y a las </w:t>
      </w:r>
      <w:r>
        <w:rPr>
          <w:rStyle w:val="C3"/>
          <w:rFonts w:ascii="Courier New" w:hAnsi="Courier New"/>
          <w:b w:val="0"/>
          <w:i w:val="1"/>
          <w:u w:val="single"/>
        </w:rPr>
        <w:t>Estancias</w:t>
      </w:r>
      <w:r>
        <w:rPr>
          <w:rStyle w:val="C3"/>
          <w:rFonts w:ascii="Courier New" w:hAnsi="Courier New"/>
          <w:b w:val="0"/>
        </w:rPr>
        <w:t xml:space="preserve"> jesuíticas de Córdoba; </w:t>
      </w:r>
    </w:p>
    <w:p>
      <w:pPr>
        <w:ind w:left="709"/>
        <w:jc w:val="both"/>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...///3.-</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esfuerzo cotidiano puesto de manifiesto por los profesionales que componen las áreas técnicas municipales, la dedicación y compromiso que evidencian quienes integran el Museo y la lenta concientización de la población hacen evidente rescatar la Carta de Veracruz;</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ella destaca que los Centros Históricos son conjuntos urbanos de carácter irrepetible donde se asienta la identidad y la memoria social de una comunidad;</w:t>
      </w:r>
    </w:p>
    <w:p>
      <w:pPr>
        <w:ind w:left="709"/>
        <w:jc w:val="both"/>
        <w:rPr>
          <w:rStyle w:val="C3"/>
          <w:rFonts w:ascii="Courier New" w:hAnsi="Courier New"/>
          <w:b w:val="1"/>
        </w:rPr>
      </w:pPr>
    </w:p>
    <w:p>
      <w:pPr>
        <w:pStyle w:val="P2"/>
        <w:ind w:left="709"/>
        <w:rPr>
          <w:rStyle w:val="C3"/>
          <w:rFonts w:ascii="Courier New" w:hAnsi="Courier New"/>
          <w:b w:val="1"/>
          <w:sz w:val="24"/>
        </w:rPr>
      </w:pPr>
      <w:r>
        <w:rPr>
          <w:rStyle w:val="C3"/>
          <w:rFonts w:ascii="Courier New" w:hAnsi="Courier New"/>
          <w:b w:val="0"/>
          <w:sz w:val="24"/>
        </w:rPr>
        <w:t xml:space="preserve">Que en consonancia con tan importante acontecimiento y respondiendo a una estratégica planificación tendiente a respetar, preservar y jerarquizar tan magna distinción, el Gobierno de la Ciudad ha peatonalizado la arteria que da frente  a la Iglesia y el Museo;</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 xml:space="preserve">Que la obra se efectuó a los fines de cumplir los  extremos normativos de la Ordenanza N° 4518, “Área de protección de Primer Orden” Titulo XIII, Capitulo I, del Tránsito, Art. 185°,...”REALÍCESE la peatonalización del tramo de calle Manuel Solares entre Belgrano y España, prevéase en dicho tramo, el ingreso de un vehículo sólo para ceremonias religiosas o casos de emergencia...”;</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se desarrolló la adaptación de un proyecto existente a las recomendaciones internacionales, acorde a los sitios declarados Patrimonio de la Humanidad;</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se determinaron un conjunto de cuatro figuras curvas cuyo significado es entrelazar la Manzana Jesuítica primigenia con el dibujo original de la Plaza Manuel Solares, testimonio del primer fraccionamiento de la tierra por él establecido para la conformación de una villa;</w:t>
      </w:r>
    </w:p>
    <w:p>
      <w:pPr>
        <w:pStyle w:val="P2"/>
        <w:ind w:left="709"/>
        <w:jc w:val="right"/>
        <w:rPr>
          <w:rStyle w:val="C3"/>
          <w:rFonts w:ascii="Courier New" w:hAnsi="Courier New"/>
          <w:b w:val="1"/>
          <w:sz w:val="24"/>
        </w:rPr>
      </w:pPr>
      <w:r>
        <w:rPr>
          <w:rStyle w:val="C3"/>
          <w:rFonts w:ascii="Courier New" w:hAnsi="Courier New"/>
          <w:b w:val="0"/>
          <w:sz w:val="24"/>
        </w:rPr>
        <w:t>...///</w:t>
      </w: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hanging="709" w:left="709"/>
        <w:rPr>
          <w:rStyle w:val="C3"/>
          <w:rFonts w:ascii="Courier New" w:hAnsi="Courier New"/>
          <w:b w:val="1"/>
          <w:sz w:val="24"/>
        </w:rPr>
      </w:pPr>
      <w:r>
        <w:rPr>
          <w:rStyle w:val="C3"/>
          <w:rFonts w:ascii="Courier New" w:hAnsi="Courier New"/>
          <w:b w:val="0"/>
          <w:sz w:val="24"/>
        </w:rPr>
        <w:t>...///4.-</w:t>
      </w:r>
    </w:p>
    <w:p>
      <w:pPr>
        <w:pStyle w:val="P2"/>
        <w:ind w:hanging="709"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 xml:space="preserve">Que los materiales seleccionados, cumpliendo con las recomendaciones para el solado total, y los elementos ornamentales para el paso </w:t>
      </w:r>
      <w:r>
        <w:rPr>
          <w:rStyle w:val="C3"/>
          <w:rFonts w:ascii="Courier New" w:hAnsi="Courier New"/>
          <w:b w:val="0"/>
          <w:color w:val="000000"/>
          <w:sz w:val="24"/>
        </w:rPr>
        <w:t>eventual</w:t>
      </w:r>
      <w:r>
        <w:rPr>
          <w:rStyle w:val="C3"/>
          <w:rFonts w:ascii="Courier New" w:hAnsi="Courier New"/>
          <w:b w:val="0"/>
          <w:sz w:val="24"/>
        </w:rPr>
        <w:t xml:space="preserve"> en forma de pedestales, fueron elegidos en tonalidades neutras y provienen de canteras ubicadas al Oeste de la ciudad;</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los elementos ubicados equidistantemente constituyen el cumplimiento de incorporar el Emblema de Patrimonio Mundial que caracteriza los sitios declarados, en los colores establecidos: Blanco y Negro, y que como anexo integra la presente;</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el mismo “simboliza la interdependencia de los bienes culturales y naturales, el cuadrado central es una forma creada por el hombre y el círculo representa la naturaleza, estando las dos íntimamente ligadas. El Emblema es redondo como la tierra, siendo al mismo tiempo un símbolo de protección”;</w:t>
      </w:r>
    </w:p>
    <w:p>
      <w:pPr>
        <w:ind w:left="709"/>
        <w:jc w:val="both"/>
        <w:rPr>
          <w:rStyle w:val="C3"/>
          <w:rFonts w:ascii="Courier New" w:hAnsi="Courier New"/>
          <w:b w:val="1"/>
          <w:color w:val="FF0000"/>
        </w:rPr>
      </w:pPr>
    </w:p>
    <w:p>
      <w:pPr>
        <w:ind w:left="709"/>
        <w:jc w:val="both"/>
        <w:rPr>
          <w:rStyle w:val="C3"/>
          <w:rFonts w:ascii="Courier New" w:hAnsi="Courier New"/>
          <w:b w:val="1"/>
        </w:rPr>
      </w:pPr>
      <w:r>
        <w:rPr>
          <w:rStyle w:val="C3"/>
          <w:rFonts w:ascii="Courier New" w:hAnsi="Courier New"/>
          <w:b w:val="0"/>
        </w:rPr>
        <w:t>Que tal obra, permite al visitante, en un entorno de absoluta tranquilidad, visualizar el conjunto arquitectónico más movido y barroco de los edificios de las E</w:t>
      </w:r>
      <w:r>
        <w:rPr>
          <w:rStyle w:val="C3"/>
          <w:rFonts w:ascii="Courier New" w:hAnsi="Courier New"/>
          <w:b w:val="0"/>
          <w:i w:val="1"/>
          <w:u w:val="single"/>
        </w:rPr>
        <w:t>stancias</w:t>
      </w:r>
      <w:r>
        <w:rPr>
          <w:rStyle w:val="C3"/>
          <w:rFonts w:ascii="Courier New" w:hAnsi="Courier New"/>
          <w:b w:val="0"/>
        </w:rPr>
        <w:t xml:space="preserve"> cordobesas;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en un pequeño instante y en un imaginario viaje de más de cuatrocientos años de extensión, dicho lugar lo convertirá en un homónimo artista como Genaro Pérez, Malanca, Lescano Ceballos, o Iribarne, en un  prestigioso escritor como Enrique Larreta, Belisario Roldán o el propio Manuel de Falla, o en un poeta como Fernández Moreno, entre otros, que aquí y en otros lugares de la villa  encontraron la inspiración creadora para el desarrollo de sus prestigiosos talentos;</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...///5.-</w:t>
      </w:r>
    </w:p>
    <w:p>
      <w:pPr>
        <w:ind w:hanging="709"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merced a la integración que la obra produce entre plaza y conjunto arquitectónico, resalta y predispone el ingreso a tan preciado sitio a los fines de completar una acabada apreciación y contemplación interior de los mismos;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analizado el contenido del Proyecto de Ordenanza por la totalidad de los concejales reunidos en Concejo en Comisión, se emite despacho favorable aprobado por unanimidad en Sesión Ordinaria del día 16 de junio del 2005.</w:t>
      </w:r>
    </w:p>
    <w:p>
      <w:pPr>
        <w:ind w:left="709"/>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3"/>
        <w:rPr>
          <w:rStyle w:val="C3"/>
          <w:rFonts w:ascii="Courier New" w:hAnsi="Courier New"/>
          <w:sz w:val="24"/>
        </w:rPr>
      </w:pPr>
      <w:r>
        <w:rPr>
          <w:rStyle w:val="C3"/>
          <w:rFonts w:ascii="Courier New" w:hAnsi="Courier New"/>
          <w:sz w:val="24"/>
        </w:rPr>
        <w:t xml:space="preserve">EL HONORABLE CONCEJO DELIBERANTE DE LA CIUDAD DE </w:t>
      </w:r>
    </w:p>
    <w:p>
      <w:pPr>
        <w:pStyle w:val="P3"/>
        <w:rPr>
          <w:rStyle w:val="C3"/>
          <w:rFonts w:ascii="Courier New" w:hAnsi="Courier New"/>
          <w:sz w:val="24"/>
        </w:rPr>
      </w:pPr>
    </w:p>
    <w:p>
      <w:pPr>
        <w:pStyle w:val="P3"/>
        <w:rPr>
          <w:rStyle w:val="C3"/>
          <w:rFonts w:ascii="Courier New" w:hAnsi="Courier New"/>
          <w:sz w:val="24"/>
        </w:rPr>
      </w:pPr>
      <w:r>
        <w:rPr>
          <w:rStyle w:val="C3"/>
          <w:rFonts w:ascii="Courier New" w:hAnsi="Courier New"/>
          <w:sz w:val="24"/>
        </w:rPr>
        <w:t>ALTA GRACIA SANCIONA CON FUERZA DE ORDENANZA</w:t>
      </w:r>
    </w:p>
    <w:p>
      <w:pPr>
        <w:jc w:val="center"/>
        <w:rPr>
          <w:rStyle w:val="C3"/>
          <w:rFonts w:ascii="Courier New" w:hAnsi="Courier New"/>
          <w:b w:val="1"/>
        </w:rPr>
      </w:pPr>
    </w:p>
    <w:p>
      <w:pPr>
        <w:jc w:val="center"/>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1°:</w:t>
      </w:r>
      <w:r>
        <w:rPr>
          <w:rStyle w:val="C3"/>
          <w:rFonts w:ascii="Courier New" w:hAnsi="Courier New"/>
          <w:b w:val="0"/>
        </w:rPr>
        <w:t xml:space="preserve"> </w:t>
      </w:r>
      <w:r>
        <w:rPr>
          <w:rStyle w:val="C3"/>
          <w:rFonts w:ascii="Courier New" w:hAnsi="Courier New"/>
        </w:rPr>
        <w:t>DESÍGNESE</w:t>
      </w:r>
      <w:r>
        <w:rPr>
          <w:rStyle w:val="C3"/>
          <w:rFonts w:ascii="Courier New" w:hAnsi="Courier New"/>
          <w:b w:val="0"/>
        </w:rPr>
        <w:t xml:space="preserve"> con el nombre de </w:t>
      </w:r>
      <w:r>
        <w:rPr>
          <w:rStyle w:val="C3"/>
          <w:rFonts w:ascii="Courier New" w:hAnsi="Courier New"/>
          <w:b w:val="0"/>
          <w:i w:val="1"/>
          <w:u w:val="single"/>
        </w:rPr>
        <w:t>“PASEO DE LA ESTANCIA”</w:t>
      </w:r>
      <w:r>
        <w:rPr>
          <w:rStyle w:val="C3"/>
          <w:rFonts w:ascii="Courier New" w:hAnsi="Courier New"/>
          <w:b w:val="0"/>
        </w:rPr>
        <w:t xml:space="preserve"> a la actual “Calle Solares” en el tramo comprendido entre Av. Belgrano y calle España, paseo que desde la fecha se peatonaliza y restringe al uso vehicular.</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2º:</w:t>
      </w:r>
      <w:r>
        <w:rPr>
          <w:rStyle w:val="C3"/>
          <w:rFonts w:ascii="Courier New" w:hAnsi="Courier New"/>
          <w:b w:val="0"/>
        </w:rPr>
        <w:t xml:space="preserve"> </w:t>
      </w:r>
      <w:r>
        <w:rPr>
          <w:rStyle w:val="C3"/>
          <w:rFonts w:ascii="Courier New" w:hAnsi="Courier New"/>
        </w:rPr>
        <w:t>INCORPÓRESE</w:t>
      </w:r>
      <w:r>
        <w:rPr>
          <w:rStyle w:val="C3"/>
          <w:rFonts w:ascii="Courier New" w:hAnsi="Courier New"/>
          <w:b w:val="0"/>
        </w:rPr>
        <w:t xml:space="preserve"> sobre la vereda Oeste de la Plaza Solares un cartel de acuerdo a medidas, colores y disposiciones establecidas con el nombre de “PASEO DE LA ESTANCIA”.-</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3º:</w:t>
      </w:r>
      <w:r>
        <w:rPr>
          <w:rStyle w:val="C3"/>
          <w:rFonts w:ascii="Courier New" w:hAnsi="Courier New"/>
          <w:b w:val="0"/>
        </w:rPr>
        <w:t xml:space="preserve"> </w:t>
      </w:r>
      <w:r>
        <w:rPr>
          <w:rStyle w:val="C3"/>
          <w:rFonts w:ascii="Courier New" w:hAnsi="Courier New"/>
        </w:rPr>
        <w:t>INCORPÓRESE</w:t>
      </w:r>
      <w:r>
        <w:rPr>
          <w:rStyle w:val="C3"/>
          <w:rFonts w:ascii="Courier New" w:hAnsi="Courier New"/>
          <w:b w:val="0"/>
        </w:rPr>
        <w:t xml:space="preserve"> como anexo de la presente el Emblema del Patrimonio Mundial establecido en las Normas Operativas del Comité del Patrimonio Mundial de la UNESCO y cuya ubicación se describe ut supra.-</w:t>
      </w:r>
    </w:p>
    <w:p>
      <w:pPr>
        <w:jc w:val="both"/>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...///6.-</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4º:</w:t>
      </w:r>
      <w:r>
        <w:rPr>
          <w:rStyle w:val="C3"/>
          <w:rFonts w:ascii="Courier New" w:hAnsi="Courier New"/>
          <w:b w:val="0"/>
        </w:rPr>
        <w:t xml:space="preserve"> </w:t>
      </w:r>
      <w:r>
        <w:rPr>
          <w:rStyle w:val="C3"/>
          <w:rFonts w:ascii="Courier New" w:hAnsi="Courier New"/>
        </w:rPr>
        <w:t>PROTOCOLÍCESE</w:t>
      </w:r>
      <w:r>
        <w:rPr>
          <w:rStyle w:val="C3"/>
          <w:rFonts w:ascii="Courier New" w:hAnsi="Courier New"/>
          <w:b w:val="0"/>
        </w:rPr>
        <w:t>, comuníquese, publíquese en el Boletín Oficial de la Ciudad de Alta Gracia, transcríbase al Libro de Ordenanzas y archívese.</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pStyle w:val="P5"/>
        <w:jc w:val="both"/>
        <w:rPr>
          <w:rStyle w:val="C3"/>
          <w:b w:val="1"/>
          <w:sz w:val="24"/>
        </w:rPr>
      </w:pPr>
      <w:r>
        <w:rPr>
          <w:rStyle w:val="C3"/>
          <w:b w:val="1"/>
          <w:sz w:val="24"/>
        </w:rPr>
        <w:t>DADA EN LA SALA DE SESIONES DEL HONORABLE CONCEJO DELIBERANTE A LOS DIECISEIS DÍAS DEL MES DE JUNIO DEL AÑO DOS MIL CINCO.</w:t>
      </w:r>
    </w:p>
    <w:p>
      <w:pPr>
        <w:ind w:hanging="709" w:left="709"/>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...///7.-</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fldChar w:fldCharType="begin"/>
      </w:r>
      <w:r>
        <w:rPr>
          <w:rStyle w:val="C3"/>
          <w:rFonts w:ascii="Courier New" w:hAnsi="Courier New"/>
          <w:b w:val="0"/>
        </w:rPr>
        <w:instrText xml:space="preserve"> EMBED CorelPhotoPaint.Image.9  </w:instrText>
      </w:r>
      <w:r>
        <w:rPr>
          <w:rStyle w:val="C3"/>
          <w:rFonts w:ascii="Courier New" w:hAnsi="Courier New"/>
          <w:b w:val="1"/>
        </w:rPr>
        <w:fldChar w:fldCharType="separate"/>
      </w:r>
      <w:r>
        <w:drawing>
          <wp:inline xmlns:wp="http://schemas.openxmlformats.org/drawingml/2006/wordprocessingDrawing">
            <wp:extent cx="6170930" cy="528193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6170930" cy="5281930"/>
                    </a:xfrm>
                    <a:prstGeom prst="rect"/>
                    <a:noFill/>
                  </pic:spPr>
                </pic:pic>
              </a:graphicData>
            </a:graphic>
          </wp:inline>
        </w:drawing>
      </w:r>
      <w:r>
        <w:rPr>
          <w:rStyle w:val="C3"/>
          <w:rFonts w:ascii="Courier New" w:hAnsi="Courier New"/>
          <w:b w:val="1"/>
        </w:rPr>
        <w:fldChar w:fldCharType="end"/>
      </w:r>
    </w:p>
    <w:p>
      <w:pPr>
        <w:jc w:val="both"/>
        <w:rPr>
          <w:rStyle w:val="C3"/>
          <w:rFonts w:ascii="Courier New" w:hAnsi="Courier New"/>
          <w:b w:val="1"/>
        </w:rPr>
      </w:pPr>
    </w:p>
    <w:p>
      <w:pPr>
        <w:rPr>
          <w:rStyle w:val="C3"/>
          <w:rFonts w:ascii="Courier New" w:hAnsi="Courier New"/>
          <w:b w:val="1"/>
        </w:rPr>
      </w:pPr>
    </w:p>
    <w:sectPr>
      <w:type w:val="nextPage"/>
      <w:pgSz w:w="11907" w:h="16840" w:code="0"/>
      <w:pgMar w:left="1701" w:right="1701" w:top="2268"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both"/>
      <w:outlineLvl w:val="0"/>
    </w:pPr>
    <w:rPr>
      <w:color w:val="auto"/>
      <w:sz w:val="28"/>
    </w:rPr>
  </w:style>
  <w:style w:type="paragraph" w:styleId="P2">
    <w:name w:val="Texto independiente"/>
    <w:basedOn w:val="P0"/>
    <w:next w:val="P2"/>
    <w:pPr>
      <w:jc w:val="both"/>
    </w:pPr>
    <w:rPr>
      <w:color w:val="auto"/>
      <w:sz w:val="28"/>
    </w:rPr>
  </w:style>
  <w:style w:type="paragraph" w:styleId="P3">
    <w:name w:val="Sangría de t. independiente"/>
    <w:basedOn w:val="P0"/>
    <w:next w:val="P3"/>
    <w:pPr>
      <w:jc w:val="center"/>
    </w:pPr>
    <w:rPr>
      <w:color w:val="auto"/>
      <w:sz w:val="28"/>
    </w:rPr>
  </w:style>
  <w:style w:type="paragraph" w:styleId="P4">
    <w:name w:val="Texto independiente 2"/>
    <w:basedOn w:val="P0"/>
    <w:next w:val="P4"/>
    <w:pPr>
      <w:jc w:val="both"/>
    </w:pPr>
    <w:rPr>
      <w:sz w:val="28"/>
    </w:rPr>
  </w:style>
  <w:style w:type="paragraph" w:styleId="P5">
    <w:name w:val="Texto sin formato"/>
    <w:basedOn w:val="P0"/>
    <w:next w:val="P5"/>
    <w:pPr/>
    <w:rPr>
      <w:rFonts w:ascii="Courier New" w:hAnsi="Courier New"/>
      <w:b w:val="0"/>
      <w:color w:val="auto"/>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2005-06-07T01:12:00Z</dcterms:created>
  <cp:lastModifiedBy>Ethan Puglia</cp:lastModifiedBy>
  <cp:lastPrinted>2005-06-07T01:13:00Z</cp:lastPrinted>
  <dcterms:modified xsi:type="dcterms:W3CDTF">2019-03-28T17:34:06Z</dcterms:modified>
  <cp:revision>27</cp:revision>
  <dc:title>PROYECTO DE ORDENANZA</dc:title>
</cp:coreProperties>
</file>