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2627C" Type="http://schemas.openxmlformats.org/officeDocument/2006/relationships/officeDocument" Target="/word/document.xml" /><Relationship Id="coreR37262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both"/>
        <w:rPr>
          <w:rStyle w:val="C3"/>
          <w:b w:val="1"/>
          <w:sz w:val="24"/>
        </w:rPr>
      </w:pPr>
    </w:p>
    <w:p>
      <w:pPr>
        <w:pStyle w:val="P2"/>
        <w:jc w:val="both"/>
        <w:rPr>
          <w:rStyle w:val="C3"/>
          <w:b w:val="1"/>
          <w:sz w:val="24"/>
        </w:rPr>
      </w:pPr>
    </w:p>
    <w:p>
      <w:pPr>
        <w:pStyle w:val="P2"/>
        <w:jc w:val="center"/>
        <w:rPr>
          <w:rStyle w:val="C3"/>
          <w:b w:val="1"/>
          <w:sz w:val="24"/>
          <w:u w:val="single"/>
        </w:rPr>
      </w:pPr>
      <w:r>
        <w:rPr>
          <w:rStyle w:val="C3"/>
          <w:b w:val="1"/>
          <w:sz w:val="24"/>
          <w:u w:val="single"/>
        </w:rPr>
        <w:t>ORDENANZA N° 7259</w:t>
      </w:r>
    </w:p>
    <w:p>
      <w:pPr>
        <w:pStyle w:val="P2"/>
        <w:jc w:val="both"/>
        <w:rPr>
          <w:rStyle w:val="C3"/>
          <w:b w:val="1"/>
          <w:sz w:val="24"/>
        </w:rPr>
      </w:pPr>
    </w:p>
    <w:p>
      <w:pPr>
        <w:pStyle w:val="P2"/>
        <w:jc w:val="both"/>
        <w:rPr>
          <w:rStyle w:val="C3"/>
          <w:sz w:val="24"/>
        </w:rPr>
      </w:pPr>
    </w:p>
    <w:p>
      <w:pPr>
        <w:pStyle w:val="P2"/>
        <w:ind w:hanging="709" w:left="709"/>
        <w:jc w:val="both"/>
        <w:rPr>
          <w:rStyle w:val="C3"/>
          <w:sz w:val="24"/>
        </w:rPr>
      </w:pPr>
      <w:r>
        <w:rPr>
          <w:rStyle w:val="C3"/>
          <w:sz w:val="24"/>
        </w:rPr>
        <w:t>Visto:</w:t>
      </w:r>
      <w:r>
        <w:rPr>
          <w:rStyle w:val="C3"/>
          <w:b w:val="1"/>
          <w:sz w:val="24"/>
        </w:rPr>
        <w:t xml:space="preserve"> </w:t>
      </w:r>
      <w:r>
        <w:rPr>
          <w:rStyle w:val="C3"/>
          <w:sz w:val="24"/>
        </w:rPr>
        <w:t>Que existen iniciativas que por su naturaleza y finalidad específica, atípica o novedosa, son de difícil concreción a través de las metodologías establecidas de contratación administrativa; y</w:t>
      </w: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C O N S I D E R A N D O</w:t>
      </w:r>
    </w:p>
    <w:p>
      <w:pPr>
        <w:pStyle w:val="P2"/>
        <w:jc w:val="both"/>
        <w:rPr>
          <w:rStyle w:val="C3"/>
          <w:sz w:val="24"/>
        </w:rPr>
      </w:pPr>
    </w:p>
    <w:p>
      <w:pPr>
        <w:pStyle w:val="P2"/>
        <w:jc w:val="both"/>
        <w:rPr>
          <w:rStyle w:val="C3"/>
          <w:sz w:val="24"/>
        </w:rPr>
      </w:pPr>
    </w:p>
    <w:p>
      <w:pPr>
        <w:pStyle w:val="P2"/>
        <w:ind w:left="709"/>
        <w:jc w:val="both"/>
        <w:rPr>
          <w:rStyle w:val="C3"/>
          <w:sz w:val="24"/>
        </w:rPr>
      </w:pPr>
      <w:r>
        <w:rPr>
          <w:rStyle w:val="C3"/>
          <w:sz w:val="24"/>
        </w:rPr>
        <w:t>Que la Municipalidad de Alta Gracia ha sido adjudicataria de los Predios denominados “Parque Federico García Lorca” y “Solar del Palmar” mediante resolución judicial de adjudicación directa en el marco de la ley 25.422;</w:t>
      </w:r>
    </w:p>
    <w:p>
      <w:pPr>
        <w:pStyle w:val="P2"/>
        <w:ind w:left="709"/>
        <w:jc w:val="both"/>
        <w:rPr>
          <w:rStyle w:val="C3"/>
          <w:sz w:val="24"/>
        </w:rPr>
      </w:pPr>
    </w:p>
    <w:p>
      <w:pPr>
        <w:pStyle w:val="P2"/>
        <w:ind w:left="709"/>
        <w:jc w:val="both"/>
        <w:rPr>
          <w:rStyle w:val="C3"/>
          <w:sz w:val="24"/>
        </w:rPr>
      </w:pPr>
      <w:r>
        <w:rPr>
          <w:rStyle w:val="C3"/>
          <w:sz w:val="24"/>
        </w:rPr>
        <w:t>Que la Ordenanza Nº 5611 establece un uso de afectación específica para el predio indicado, destinándolo a la realización de un escenario para el desarrollo de actividades artísticas, culturales, turísticas y deportivas, complementado con un parque temático y una reserva para parque hotelero, conformes a la presentación de ideas y propuestas que serán concursadas a través del Departamento Ejecutivo;</w:t>
      </w:r>
    </w:p>
    <w:p>
      <w:pPr>
        <w:pStyle w:val="P2"/>
        <w:ind w:left="709"/>
        <w:jc w:val="both"/>
        <w:rPr>
          <w:rStyle w:val="C3"/>
          <w:sz w:val="24"/>
        </w:rPr>
      </w:pPr>
    </w:p>
    <w:p>
      <w:pPr>
        <w:pStyle w:val="P2"/>
        <w:ind w:left="709"/>
        <w:jc w:val="both"/>
        <w:rPr>
          <w:rStyle w:val="C3"/>
          <w:sz w:val="24"/>
        </w:rPr>
      </w:pPr>
      <w:r>
        <w:rPr>
          <w:rStyle w:val="C3"/>
          <w:sz w:val="24"/>
        </w:rPr>
        <w:t>Que por otra parte, existen iniciativas para destinar el predio adquirido a Dolomita SAIC como parque industrial y para la localización de una planta de tratamiento de residuos urbanos, con la incorporación del reciclado de residuos orgánicos e inorgánicos, de modo de eliminar o disminuir sensiblemente el impacto ambiental y dotar a la ciudad de la más moderna tecnología en la materia, lo que oportunamente será considerado por este Honorable Cuerpo;</w:t>
      </w:r>
    </w:p>
    <w:p>
      <w:pPr>
        <w:pStyle w:val="P2"/>
        <w:ind w:left="709"/>
        <w:jc w:val="both"/>
        <w:rPr>
          <w:rStyle w:val="C3"/>
          <w:sz w:val="24"/>
        </w:rPr>
      </w:pPr>
    </w:p>
    <w:p>
      <w:pPr>
        <w:pStyle w:val="P2"/>
        <w:ind w:left="709"/>
        <w:jc w:val="both"/>
        <w:rPr>
          <w:rStyle w:val="C3"/>
          <w:sz w:val="24"/>
        </w:rPr>
      </w:pPr>
      <w:r>
        <w:rPr>
          <w:rStyle w:val="C3"/>
          <w:sz w:val="24"/>
        </w:rPr>
        <w:t>Que resulta oportuno dotar al Municipio de un marco regulatorio de mecanismos de contratación ágiles y que contemplen la participación de la iniciativa privada tendiente a colaborar con el Estado en la consecución de finalidades de destino de inmuebles, concreción de obras y prestación de servicios particularizados por su topología diferencial, asegurando no obstante la transparencia y la mas amplia difusión, de modo de contar con el concurso de todos los posibles interesados;</w:t>
      </w:r>
    </w:p>
    <w:p>
      <w:pPr>
        <w:pStyle w:val="P2"/>
        <w:ind w:left="709"/>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...///2.-</w:t>
      </w:r>
    </w:p>
    <w:p>
      <w:pPr>
        <w:pStyle w:val="P2"/>
        <w:jc w:val="both"/>
        <w:rPr>
          <w:rStyle w:val="C3"/>
          <w:sz w:val="24"/>
        </w:rPr>
      </w:pPr>
    </w:p>
    <w:p>
      <w:pPr>
        <w:pStyle w:val="P2"/>
        <w:ind w:left="709"/>
        <w:jc w:val="both"/>
        <w:rPr>
          <w:rStyle w:val="C3"/>
          <w:sz w:val="24"/>
        </w:rPr>
      </w:pPr>
      <w:r>
        <w:rPr>
          <w:rStyle w:val="C3"/>
          <w:sz w:val="24"/>
        </w:rPr>
        <w:t>Que analizado el contenido del Proyecto de Ordenanza por el Concejo constituido en Comisión, se emite despacho favorable con modificaciones aprobado por unanimidad en Sesión Ordinaria del día 30 de junio del 2005.</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EL HONORABLE CONCEJO DELIBERANTE DE LA CIUDAD DE</w:t>
      </w:r>
    </w:p>
    <w:p>
      <w:pPr>
        <w:pStyle w:val="P2"/>
        <w:jc w:val="center"/>
        <w:rPr>
          <w:rStyle w:val="C3"/>
          <w:b w:val="1"/>
          <w:sz w:val="24"/>
        </w:rPr>
      </w:pPr>
      <w:r>
        <w:rPr>
          <w:rStyle w:val="C3"/>
          <w:b w:val="1"/>
          <w:sz w:val="24"/>
        </w:rPr>
        <w:t>ALTA GRACIA SANCIONA CON FUERZA DE ORDENANZA</w:t>
      </w:r>
    </w:p>
    <w:p>
      <w:pPr>
        <w:pStyle w:val="P2"/>
        <w:jc w:val="both"/>
        <w:rPr>
          <w:rStyle w:val="C3"/>
          <w:sz w:val="24"/>
        </w:rPr>
      </w:pPr>
    </w:p>
    <w:p>
      <w:pPr>
        <w:pStyle w:val="P2"/>
        <w:jc w:val="both"/>
        <w:rPr>
          <w:rStyle w:val="C3"/>
          <w:sz w:val="24"/>
        </w:rPr>
      </w:pPr>
    </w:p>
    <w:p>
      <w:pPr>
        <w:pStyle w:val="P2"/>
        <w:ind w:hanging="709" w:left="709"/>
        <w:jc w:val="both"/>
        <w:rPr>
          <w:rStyle w:val="C3"/>
          <w:sz w:val="24"/>
        </w:rPr>
      </w:pPr>
      <w:r>
        <w:rPr>
          <w:rStyle w:val="C3"/>
          <w:b w:val="1"/>
          <w:sz w:val="24"/>
          <w:u w:val="single"/>
        </w:rPr>
        <w:t>Art.1</w:t>
      </w:r>
      <w:r>
        <w:rPr>
          <w:rStyle w:val="C3"/>
          <w:sz w:val="24"/>
        </w:rPr>
        <w:t xml:space="preserve">: </w:t>
      </w:r>
      <w:r>
        <w:rPr>
          <w:rStyle w:val="C3"/>
          <w:b w:val="1"/>
          <w:sz w:val="24"/>
        </w:rPr>
        <w:t>PUEDEN</w:t>
      </w:r>
      <w:r>
        <w:rPr>
          <w:rStyle w:val="C3"/>
          <w:sz w:val="24"/>
        </w:rPr>
        <w:t xml:space="preserve"> realizarse mediante ofertas o propuestas que tengan origen en la iniciativa privada</w:t>
      </w:r>
      <w:r>
        <w:rPr>
          <w:rStyle w:val="C3"/>
          <w:b w:val="1"/>
          <w:sz w:val="24"/>
        </w:rPr>
        <w:t xml:space="preserve">, </w:t>
      </w:r>
      <w:r>
        <w:rPr>
          <w:rStyle w:val="C3"/>
          <w:sz w:val="24"/>
        </w:rPr>
        <w:t>a los fines previstos en el Art.6 de la Ordenanza de Presupuesto y en los casos que expresamente lo solicite el Departamento Ejecutivo a este cuerpo, las contrataciones de la Municipalidad con terceros, concesión total o parcial de obras y servicios públicos y ventas de bienes del patrimonio Municipal, cuando la naturaleza de la contratación, concesión o bien sujeto a venta determine la imposibilidad de lograr la finalidad perseguida mediante otras formas de contratación, concesión o venta.</w:t>
      </w:r>
    </w:p>
    <w:p>
      <w:pPr>
        <w:pStyle w:val="P2"/>
        <w:jc w:val="both"/>
        <w:rPr>
          <w:rStyle w:val="C3"/>
          <w:sz w:val="24"/>
        </w:rPr>
      </w:pPr>
    </w:p>
    <w:p>
      <w:pPr>
        <w:pStyle w:val="P2"/>
        <w:ind w:hanging="709" w:left="709"/>
        <w:jc w:val="both"/>
        <w:rPr>
          <w:rStyle w:val="C3"/>
          <w:b w:val="1"/>
          <w:sz w:val="24"/>
          <w:u w:val="single"/>
        </w:rPr>
      </w:pPr>
      <w:r>
        <w:rPr>
          <w:rStyle w:val="C3"/>
          <w:b w:val="1"/>
          <w:sz w:val="24"/>
          <w:u w:val="single"/>
        </w:rPr>
        <w:t>Art.2</w:t>
      </w:r>
      <w:r>
        <w:rPr>
          <w:rStyle w:val="C3"/>
          <w:sz w:val="24"/>
        </w:rPr>
        <w:t xml:space="preserve">: </w:t>
      </w:r>
      <w:r>
        <w:rPr>
          <w:rStyle w:val="C3"/>
          <w:b w:val="1"/>
          <w:sz w:val="24"/>
        </w:rPr>
        <w:t>EL</w:t>
      </w:r>
      <w:r>
        <w:rPr>
          <w:rStyle w:val="C3"/>
          <w:sz w:val="24"/>
        </w:rPr>
        <w:t xml:space="preserve"> llamado a contrataciones, concesiones o venta de inmuebles del dominio municipal, bajo la forma de iniciativa privada, es autorizado por el Honorable Concejo Deliberante mediante la sanción de la Ordenanza respectiva, la cual establecerá el objeto de la contratación o concesión, la identificación de la función a cumplir por el bien puesto a la venta, servicios u obras, su finalidad, las bases de su factibilidad económica, técnica y financiera y las demás condiciones contractuales que resulten necesarias.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Art.3</w:t>
      </w:r>
      <w:r>
        <w:rPr>
          <w:rStyle w:val="C3"/>
          <w:sz w:val="24"/>
        </w:rPr>
        <w:t xml:space="preserve">: </w:t>
      </w:r>
      <w:r>
        <w:rPr>
          <w:rStyle w:val="C3"/>
          <w:b w:val="1"/>
          <w:sz w:val="24"/>
        </w:rPr>
        <w:t>TALES</w:t>
      </w:r>
      <w:r>
        <w:rPr>
          <w:rStyle w:val="C3"/>
          <w:sz w:val="24"/>
        </w:rPr>
        <w:t xml:space="preserve"> actos pueden tener fundamento en la iniciativa de particulares, quienes podrán proponer su participación en la ejecución de tales actividades, a cuyo fin deberán presentar los respectivos proyectos los </w:t>
      </w:r>
    </w:p>
    <w:p>
      <w:pPr>
        <w:pStyle w:val="P2"/>
        <w:ind w:hanging="709" w:left="709"/>
        <w:jc w:val="right"/>
        <w:rPr>
          <w:rStyle w:val="C3"/>
          <w:sz w:val="24"/>
        </w:rPr>
      </w:pPr>
      <w:r>
        <w:rPr>
          <w:rStyle w:val="C3"/>
          <w:sz w:val="24"/>
        </w:rPr>
        <w:t>...///</w:t>
      </w: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r>
        <w:rPr>
          <w:rStyle w:val="C3"/>
          <w:sz w:val="24"/>
        </w:rPr>
        <w:t>...///3.-</w:t>
      </w:r>
    </w:p>
    <w:p>
      <w:pPr>
        <w:pStyle w:val="P2"/>
        <w:ind w:hanging="709" w:left="709"/>
        <w:jc w:val="both"/>
        <w:rPr>
          <w:rStyle w:val="C3"/>
          <w:sz w:val="24"/>
        </w:rPr>
      </w:pPr>
    </w:p>
    <w:p>
      <w:pPr>
        <w:pStyle w:val="P2"/>
        <w:ind w:left="709"/>
        <w:jc w:val="both"/>
        <w:rPr>
          <w:rStyle w:val="C3"/>
          <w:sz w:val="24"/>
        </w:rPr>
      </w:pPr>
      <w:r>
        <w:rPr>
          <w:rStyle w:val="C3"/>
          <w:sz w:val="24"/>
        </w:rPr>
        <w:t xml:space="preserve">que deberán responder a las bases y condiciones consignados en el Artículo anterior según lo establezca la respectiva ordenanza a dictarse en cada caso particular. </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Art.4</w:t>
      </w:r>
      <w:r>
        <w:rPr>
          <w:rStyle w:val="C3"/>
          <w:sz w:val="24"/>
        </w:rPr>
        <w:t xml:space="preserve">: </w:t>
      </w:r>
      <w:r>
        <w:rPr>
          <w:rStyle w:val="C3"/>
          <w:b w:val="1"/>
          <w:sz w:val="24"/>
        </w:rPr>
        <w:t>EL</w:t>
      </w:r>
      <w:r>
        <w:rPr>
          <w:rStyle w:val="C3"/>
          <w:sz w:val="24"/>
        </w:rPr>
        <w:t xml:space="preserve"> proponente de la iniciativa privada, juntamente con los requisitos exigidos por las disposiciones precedentes, debe acompañar sus antecedentes personales o los de la Empresa o firma que en su caso represente, y el compromiso de mantener la propuesta  por un término de 90 días.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 5</w:t>
      </w:r>
      <w:r>
        <w:rPr>
          <w:rStyle w:val="C3"/>
          <w:sz w:val="24"/>
        </w:rPr>
        <w:t xml:space="preserve">: </w:t>
      </w:r>
      <w:r>
        <w:rPr>
          <w:rStyle w:val="C3"/>
          <w:b w:val="1"/>
          <w:sz w:val="24"/>
        </w:rPr>
        <w:t>PREVIO</w:t>
      </w:r>
      <w:r>
        <w:rPr>
          <w:rStyle w:val="C3"/>
          <w:sz w:val="24"/>
        </w:rPr>
        <w:t xml:space="preserve">  estudio de las oficinas técnicas respectivas y en su caso con las modificaciones que en su consecuencia se estime conveniente introducir, el Departamento Ejecutivo realiza la aprobación del proyecto. En ese mismo acto se determina a quién le corresponde el derecho de preferencia para igualar la mejor oferta, cuando el proyecto hubiera sido confeccionado en base a los aportes de más de una propuesta. Teniendo como base el proyecto aprobado, y las bases y condiciones generales y particulares y especificaciones técnicas de la ordenanza respectiva, se procede a invitar a formular nuevas ofertas a las principales empresas, firmas comerciales o sociedades, sobre la base de la afinidad de su objeto social o comercial con la iniciativa presentada, las que deben ser presentadas dentro de los 30 días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Art.6</w:t>
      </w:r>
      <w:r>
        <w:rPr>
          <w:rStyle w:val="C3"/>
          <w:b w:val="1"/>
          <w:sz w:val="24"/>
        </w:rPr>
        <w:t xml:space="preserve">: SÓLO </w:t>
      </w:r>
      <w:r>
        <w:rPr>
          <w:rStyle w:val="C3"/>
          <w:sz w:val="24"/>
        </w:rPr>
        <w:t>pueden ser admitidas como propuestas válidas las nuevas ofertas que mejoren la inversión comprometida en un porcentaje superior al 5% o que el ahorro o beneficio económico o de servicios en favor de la administración o de los contribuyentes supere el 5% equivalente anual a la propuesta ya realizada, pero en todos los casos el proponente de la iniciativa privada original tiene derecho a igualar la mejor propuesta. En este caso se procede a adjudicar al iniciador de la Oferta. En caso contrario, al mejor proponente.</w:t>
      </w:r>
    </w:p>
    <w:p>
      <w:pPr>
        <w:pStyle w:val="P2"/>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...///4.-</w:t>
      </w:r>
    </w:p>
    <w:p>
      <w:pPr>
        <w:pStyle w:val="P2"/>
        <w:jc w:val="both"/>
        <w:rPr>
          <w:rStyle w:val="C3"/>
          <w:sz w:val="24"/>
        </w:rPr>
      </w:pPr>
    </w:p>
    <w:p>
      <w:pPr>
        <w:pStyle w:val="P2"/>
        <w:ind w:hanging="709" w:left="709"/>
        <w:jc w:val="both"/>
        <w:rPr>
          <w:rStyle w:val="C3"/>
          <w:sz w:val="24"/>
        </w:rPr>
      </w:pPr>
      <w:r>
        <w:rPr>
          <w:rStyle w:val="C3"/>
          <w:b w:val="1"/>
          <w:sz w:val="24"/>
          <w:u w:val="single"/>
        </w:rPr>
        <w:t>Art.7:</w:t>
      </w:r>
      <w:r>
        <w:rPr>
          <w:rStyle w:val="C3"/>
          <w:b w:val="1"/>
          <w:sz w:val="24"/>
        </w:rPr>
        <w:t xml:space="preserve"> EL</w:t>
      </w:r>
      <w:r>
        <w:rPr>
          <w:rStyle w:val="C3"/>
          <w:sz w:val="24"/>
        </w:rPr>
        <w:t xml:space="preserve"> decreto de adjudicación debe ser ratificado por Ordenanza. Antes de la ratificación del decreto de adjudicación de la propuesta seleccionada en definitiva, la Municipalidad no adquiere ni asume responsabilidad alguna, pudiendo desestimar todas las ofertas, declarar nulo el procedimiento o introducir modificaciones al proyecto sin que ello de derecho a efectuar reclamo alguno.</w:t>
      </w:r>
    </w:p>
    <w:p>
      <w:pPr>
        <w:pStyle w:val="P2"/>
        <w:jc w:val="both"/>
        <w:rPr>
          <w:rStyle w:val="C3"/>
          <w:sz w:val="24"/>
        </w:rPr>
      </w:pPr>
    </w:p>
    <w:p>
      <w:pPr>
        <w:pStyle w:val="P2"/>
        <w:ind w:hanging="709" w:left="709"/>
        <w:jc w:val="both"/>
        <w:rPr>
          <w:rStyle w:val="C3"/>
          <w:sz w:val="24"/>
        </w:rPr>
      </w:pPr>
      <w:r>
        <w:rPr>
          <w:rStyle w:val="C3"/>
          <w:b w:val="1"/>
          <w:sz w:val="24"/>
          <w:u w:val="single"/>
        </w:rPr>
        <w:t>Art.8:</w:t>
      </w:r>
      <w:r>
        <w:rPr>
          <w:rStyle w:val="C3"/>
          <w:sz w:val="24"/>
        </w:rPr>
        <w:t xml:space="preserve"> </w:t>
      </w:r>
      <w:r>
        <w:rPr>
          <w:rStyle w:val="C3"/>
          <w:b w:val="1"/>
          <w:sz w:val="24"/>
        </w:rPr>
        <w:t>LA</w:t>
      </w:r>
      <w:r>
        <w:rPr>
          <w:rStyle w:val="C3"/>
          <w:sz w:val="24"/>
        </w:rPr>
        <w:t xml:space="preserve"> presente Ordenanza tiene vigencia a partir de la fecha de su promulgación, en un todo de conformidad al Art. 24 de la Carta Orgánica Municipal.</w:t>
      </w:r>
    </w:p>
    <w:p>
      <w:pPr>
        <w:pStyle w:val="P2"/>
        <w:jc w:val="both"/>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PROTOCOLÍCESE</w:t>
      </w:r>
      <w:r>
        <w:rPr>
          <w:rStyle w:val="C3"/>
          <w:rFonts w:ascii="Courier New" w:hAnsi="Courier New"/>
          <w:sz w:val="24"/>
        </w:rPr>
        <w:t>, comuníquese, publíquese en el Boletín Oficial de la Ciudad de Alta Gracia, transcríbase al Libro de Ordenanzas y archívese.</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2"/>
        <w:jc w:val="both"/>
        <w:rPr>
          <w:rStyle w:val="C3"/>
          <w:b w:val="1"/>
          <w:sz w:val="24"/>
        </w:rPr>
      </w:pPr>
      <w:r>
        <w:rPr>
          <w:rStyle w:val="C3"/>
          <w:b w:val="1"/>
          <w:sz w:val="24"/>
        </w:rPr>
        <w:t>DADA EN LA SALA DE SESIONES DEL HONORABLE CONCEJO DELIBERANTE A LOS TREINTA DÍAS DEL MES DE JUNIO DEL AÑO DOS MIL CINCO.</w:t>
      </w:r>
    </w:p>
    <w:p>
      <w:pPr>
        <w:pStyle w:val="P2"/>
        <w:jc w:val="both"/>
        <w:rPr>
          <w:rStyle w:val="C3"/>
          <w:sz w:val="24"/>
        </w:rPr>
      </w:pP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w:abstractNum w:abstractNumId="0">
    <w:nsid w:val="1F4C5E78"/>
    <w:multiLevelType w:val="multilevel"/>
    <w:lvl w:ilvl="0">
      <w:start w:val="1"/>
      <w:numFmt w:val="decimal"/>
      <w:suff w:val="tab"/>
      <w:lvlText w:val="%1)"/>
      <w:lvlJc w:val="left"/>
      <w:pPr>
        <w:ind w:hanging="690" w:left="690"/>
        <w:tabs>
          <w:tab w:val="left" w:pos="69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2D62E66"/>
    <w:multiLevelType w:val="hybridMultilevel"/>
    <w:lvl w:ilvl="0" w:tplc="0D50DB9F">
      <w:start w:val="0"/>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55B391D"/>
    <w:multiLevelType w:val="hybridMultilevel"/>
    <w:lvl w:ilvl="0" w:tplc="491CCF53">
      <w:start w:val="0"/>
      <w:numFmt w:val="bullet"/>
      <w:suff w:val="tab"/>
      <w:lvlText w:val="-"/>
      <w:lvlJc w:val="left"/>
      <w:pPr>
        <w:ind w:hanging="420" w:left="420"/>
        <w:tabs>
          <w:tab w:val="left" w:pos="42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82587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0"/>
  </w:num>
  <w:num w:numId="3">
    <w:abstractNumId w:val="3"/>
  </w:num>
  <w:num w:numId="4">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Texto sin formato"/>
    <w:basedOn w:val="P0"/>
    <w:next w:val="P2"/>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Dirección de Asuntos Jurídico</dc:creator>
  <dcterms:created xsi:type="dcterms:W3CDTF">2005-06-09T12:28:00Z</dcterms:created>
  <cp:lastModifiedBy>Ethan Puglia</cp:lastModifiedBy>
  <cp:lastPrinted>2005-06-30T13:58:00Z</cp:lastPrinted>
  <dcterms:modified xsi:type="dcterms:W3CDTF">2019-03-28T17:34:06Z</dcterms:modified>
  <cp:revision>56</cp:revision>
  <dc:title>1¾   «        ˆ              NORMAL</dc:title>
</cp:coreProperties>
</file>