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8066FFD" Type="http://schemas.openxmlformats.org/officeDocument/2006/relationships/officeDocument" Target="/word/document.xml" /><Relationship Id="coreR78066FF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3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 7270</w:t>
      </w:r>
    </w:p>
    <w:p>
      <w:pPr>
        <w:pStyle w:val="P3"/>
        <w:jc w:val="center"/>
        <w:rPr>
          <w:rStyle w:val="C3"/>
          <w:b w:val="1"/>
          <w:sz w:val="24"/>
          <w:u w:val="single"/>
        </w:rPr>
      </w:pPr>
    </w:p>
    <w:p>
      <w:pPr>
        <w:pStyle w:val="P3"/>
        <w:jc w:val="center"/>
        <w:rPr>
          <w:rStyle w:val="C3"/>
          <w:b w:val="1"/>
          <w:sz w:val="24"/>
          <w:u w:val="single"/>
        </w:rPr>
      </w:pPr>
    </w:p>
    <w:p>
      <w:pPr>
        <w:pStyle w:val="P2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V</w:t>
      </w:r>
      <w:r>
        <w:rPr>
          <w:rStyle w:val="C3"/>
          <w:rFonts w:ascii="Courier New" w:hAnsi="Courier New"/>
          <w:b w:val="0"/>
        </w:rPr>
        <w:t>isto</w:t>
      </w:r>
      <w:r>
        <w:rPr>
          <w:rStyle w:val="C3"/>
          <w:rFonts w:ascii="Courier New" w:hAnsi="Courier New"/>
          <w:b w:val="0"/>
        </w:rPr>
        <w:t>: La Ordenanza Nº 7151; y</w:t>
      </w:r>
    </w:p>
    <w:p>
      <w:pPr>
        <w:pStyle w:val="P2"/>
        <w:rPr>
          <w:rStyle w:val="C3"/>
          <w:rFonts w:ascii="Courier New" w:hAnsi="Courier New"/>
          <w:b w:val="1"/>
        </w:rPr>
      </w:pPr>
    </w:p>
    <w:p>
      <w:pPr>
        <w:pStyle w:val="P2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3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2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2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2"/>
        <w:ind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la Ordenanza Nº 7151 estableció un plan especial de cancelación de deuda de la Tasa por Servicios de Inspección General e Higiene para aquellos contribuyentes cuyo cese de actividad sea anterior al 31</w:t>
      </w:r>
      <w:r>
        <w:rPr>
          <w:rStyle w:val="C3"/>
          <w:rFonts w:ascii="Courier New" w:hAnsi="Courier New"/>
          <w:b w:val="0"/>
        </w:rPr>
        <w:t xml:space="preserve"> de Octubre de </w:t>
      </w:r>
      <w:r>
        <w:rPr>
          <w:rStyle w:val="C3"/>
          <w:rFonts w:ascii="Courier New" w:hAnsi="Courier New"/>
          <w:b w:val="0"/>
        </w:rPr>
        <w:t>2004;</w:t>
      </w:r>
    </w:p>
    <w:p>
      <w:pPr>
        <w:pStyle w:val="P2"/>
        <w:ind w:left="709"/>
        <w:rPr>
          <w:rStyle w:val="C3"/>
          <w:rFonts w:ascii="Courier New" w:hAnsi="Courier New"/>
          <w:b w:val="1"/>
        </w:rPr>
      </w:pPr>
    </w:p>
    <w:p>
      <w:pPr>
        <w:pStyle w:val="P2"/>
        <w:ind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en los últimos meses, ha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 xml:space="preserve"> trascendido entre los contribuyentes de la Tasa por Servicios de Inspección General e Higiene que deben regularizar su sit</w:t>
      </w:r>
      <w:r>
        <w:rPr>
          <w:rStyle w:val="C3"/>
          <w:rFonts w:ascii="Courier New" w:hAnsi="Courier New"/>
          <w:b w:val="0"/>
        </w:rPr>
        <w:t>uación de cese de sus comercios</w:t>
      </w:r>
      <w:r>
        <w:rPr>
          <w:rStyle w:val="C3"/>
          <w:rFonts w:ascii="Courier New" w:hAnsi="Courier New"/>
          <w:b w:val="0"/>
        </w:rPr>
        <w:t xml:space="preserve"> los  beneficios que la misma otorgaba, por lo que ante la importante cantidad de pedidos de inclusión dentro de los mismos, surge la necesidad </w:t>
      </w:r>
      <w:r>
        <w:rPr>
          <w:rStyle w:val="C3"/>
          <w:rFonts w:ascii="Courier New" w:hAnsi="Courier New"/>
          <w:b w:val="0"/>
        </w:rPr>
        <w:t xml:space="preserve">de </w:t>
      </w:r>
      <w:r>
        <w:rPr>
          <w:rStyle w:val="C3"/>
          <w:rFonts w:ascii="Courier New" w:hAnsi="Courier New"/>
          <w:b w:val="0"/>
        </w:rPr>
        <w:t>poner nuevamente en vigencia los beneficios que la misma establecía;</w:t>
      </w:r>
    </w:p>
    <w:p>
      <w:pPr>
        <w:pStyle w:val="P2"/>
        <w:ind w:left="709"/>
        <w:rPr>
          <w:rStyle w:val="C3"/>
          <w:rFonts w:ascii="Courier New" w:hAnsi="Courier New"/>
          <w:b w:val="1"/>
        </w:rPr>
      </w:pPr>
    </w:p>
    <w:p>
      <w:pPr>
        <w:pStyle w:val="P2"/>
        <w:ind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del plan de fiscalización que se contin</w:t>
      </w:r>
      <w:r>
        <w:rPr>
          <w:rStyle w:val="C3"/>
          <w:rFonts w:ascii="Courier New" w:hAnsi="Courier New"/>
          <w:b w:val="0"/>
        </w:rPr>
        <w:t>ú</w:t>
      </w:r>
      <w:r>
        <w:rPr>
          <w:rStyle w:val="C3"/>
          <w:rFonts w:ascii="Courier New" w:hAnsi="Courier New"/>
          <w:b w:val="0"/>
        </w:rPr>
        <w:t>a llevando a cabo sig</w:t>
      </w:r>
      <w:r>
        <w:rPr>
          <w:rStyle w:val="C3"/>
          <w:rFonts w:ascii="Courier New" w:hAnsi="Courier New"/>
          <w:b w:val="0"/>
        </w:rPr>
        <w:t>uen surgiendo má</w:t>
      </w:r>
      <w:r>
        <w:rPr>
          <w:rStyle w:val="C3"/>
          <w:rFonts w:ascii="Courier New" w:hAnsi="Courier New"/>
          <w:b w:val="0"/>
        </w:rPr>
        <w:t xml:space="preserve">s comercios que ya no desarrollan actividad comercial, por lo cual, detectado lo anterior se intima a los contribuyentes a que cumplimenten el procedimiento administrativo correspondiente, lo que implica que cancelen sus deudas siendo </w:t>
      </w:r>
      <w:r>
        <w:rPr>
          <w:rStyle w:val="C3"/>
          <w:rFonts w:ascii="Courier New" w:hAnsi="Courier New"/>
          <w:b w:val="0"/>
        </w:rPr>
        <w:t>é</w:t>
      </w:r>
      <w:r>
        <w:rPr>
          <w:rStyle w:val="C3"/>
          <w:rFonts w:ascii="Courier New" w:hAnsi="Courier New"/>
          <w:b w:val="0"/>
        </w:rPr>
        <w:t>sta una posibilidad para los mismos;</w:t>
      </w:r>
    </w:p>
    <w:p>
      <w:pPr>
        <w:pStyle w:val="P2"/>
        <w:ind w:left="709"/>
        <w:rPr>
          <w:rStyle w:val="C3"/>
          <w:rFonts w:ascii="Courier New" w:hAnsi="Courier New"/>
          <w:b w:val="1"/>
        </w:rPr>
      </w:pPr>
    </w:p>
    <w:p>
      <w:pPr>
        <w:ind w:left="720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evaluado el Proyecto de Ordenanza presentado por el Departamento Ejecutivo, se emite despacho favorable aprobado por unanimidad en Sesión Ordinaria de fecha 28 de julio de 2005.</w:t>
      </w:r>
    </w:p>
    <w:p>
      <w:pPr>
        <w:pStyle w:val="P2"/>
        <w:ind w:left="709"/>
        <w:rPr>
          <w:rStyle w:val="C3"/>
          <w:rFonts w:ascii="Courier New" w:hAnsi="Courier New"/>
          <w:b w:val="1"/>
        </w:rPr>
      </w:pPr>
    </w:p>
    <w:p>
      <w:pPr>
        <w:pStyle w:val="P2"/>
        <w:rPr>
          <w:rStyle w:val="C3"/>
          <w:rFonts w:ascii="Courier New" w:hAnsi="Courier New"/>
          <w:b w:val="1"/>
        </w:rPr>
      </w:pPr>
    </w:p>
    <w:p>
      <w:pPr>
        <w:pStyle w:val="P3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3"/>
        <w:ind w:left="709"/>
        <w:jc w:val="center"/>
        <w:rPr>
          <w:rStyle w:val="C3"/>
          <w:b w:val="1"/>
          <w:sz w:val="24"/>
        </w:rPr>
      </w:pPr>
    </w:p>
    <w:p>
      <w:pPr>
        <w:pStyle w:val="P3"/>
        <w:ind w:left="709"/>
        <w:jc w:val="center"/>
        <w:rPr>
          <w:rStyle w:val="C3"/>
          <w:b w:val="1"/>
          <w:sz w:val="24"/>
        </w:rPr>
      </w:pPr>
    </w:p>
    <w:p>
      <w:pPr>
        <w:pStyle w:val="P3"/>
        <w:ind w:left="709"/>
        <w:jc w:val="center"/>
        <w:rPr>
          <w:rStyle w:val="C3"/>
          <w:b w:val="1"/>
          <w:sz w:val="24"/>
        </w:rPr>
      </w:pPr>
    </w:p>
    <w:p>
      <w:pPr>
        <w:pStyle w:val="P3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ALTA GRACIA SANCIONA CON FUERZA DE ORDENANZA</w:t>
      </w:r>
    </w:p>
    <w:p>
      <w:pPr>
        <w:pStyle w:val="P2"/>
        <w:jc w:val="center"/>
        <w:rPr>
          <w:rStyle w:val="C3"/>
          <w:rFonts w:ascii="Courier New" w:hAnsi="Courier New"/>
          <w:b w:val="1"/>
        </w:rPr>
      </w:pPr>
    </w:p>
    <w:p>
      <w:pPr>
        <w:pStyle w:val="P2"/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pStyle w:val="P2"/>
        <w:jc w:val="center"/>
        <w:rPr>
          <w:rStyle w:val="C3"/>
          <w:rFonts w:ascii="Courier New" w:hAnsi="Courier New"/>
          <w:b w:val="1"/>
        </w:rPr>
      </w:pPr>
    </w:p>
    <w:p>
      <w:pPr>
        <w:pStyle w:val="P2"/>
        <w:jc w:val="center"/>
        <w:rPr>
          <w:rStyle w:val="C3"/>
          <w:rFonts w:ascii="Courier New" w:hAnsi="Courier New"/>
          <w:b w:val="1"/>
        </w:rPr>
      </w:pPr>
    </w:p>
    <w:p>
      <w:pPr>
        <w:pStyle w:val="P2"/>
        <w:jc w:val="center"/>
        <w:rPr>
          <w:rStyle w:val="C3"/>
          <w:rFonts w:ascii="Courier New" w:hAnsi="Courier New"/>
          <w:b w:val="1"/>
        </w:rPr>
      </w:pPr>
    </w:p>
    <w:p>
      <w:pPr>
        <w:pStyle w:val="P2"/>
        <w:rPr>
          <w:rStyle w:val="C3"/>
          <w:rFonts w:ascii="Courier New" w:hAnsi="Courier New"/>
          <w:b w:val="1"/>
        </w:rPr>
      </w:pPr>
    </w:p>
    <w:p>
      <w:pPr>
        <w:pStyle w:val="P2"/>
        <w:rPr>
          <w:rStyle w:val="C3"/>
          <w:rFonts w:ascii="Courier New" w:hAnsi="Courier New"/>
          <w:b w:val="1"/>
        </w:rPr>
      </w:pPr>
    </w:p>
    <w:p>
      <w:pPr>
        <w:pStyle w:val="P2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pStyle w:val="P2"/>
        <w:rPr>
          <w:rStyle w:val="C3"/>
          <w:rFonts w:ascii="Courier New" w:hAnsi="Courier New"/>
          <w:b w:val="1"/>
        </w:rPr>
      </w:pPr>
    </w:p>
    <w:p>
      <w:pPr>
        <w:pStyle w:val="P2"/>
        <w:jc w:val="center"/>
        <w:rPr>
          <w:rStyle w:val="C3"/>
          <w:rFonts w:ascii="Courier New" w:hAnsi="Courier New"/>
          <w:b w:val="1"/>
        </w:rPr>
      </w:pPr>
    </w:p>
    <w:p>
      <w:pPr>
        <w:pStyle w:val="P2"/>
        <w:ind w:hanging="851" w:left="851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</w:t>
      </w:r>
      <w:r>
        <w:rPr>
          <w:rStyle w:val="C3"/>
          <w:rFonts w:ascii="Courier New" w:hAnsi="Courier New"/>
        </w:rPr>
        <w:t>: FÍJESE</w:t>
      </w:r>
      <w:r>
        <w:rPr>
          <w:rStyle w:val="C3"/>
          <w:rFonts w:ascii="Courier New" w:hAnsi="Courier New"/>
          <w:b w:val="0"/>
        </w:rPr>
        <w:t xml:space="preserve"> un nuevo periodo de vigencia de los beneficios establecidos por Ordenanza Nº 7151.</w:t>
      </w:r>
    </w:p>
    <w:p>
      <w:pPr>
        <w:pStyle w:val="P2"/>
        <w:rPr>
          <w:rStyle w:val="C3"/>
          <w:rFonts w:ascii="Courier New" w:hAnsi="Courier New"/>
          <w:b w:val="1"/>
        </w:rPr>
      </w:pPr>
    </w:p>
    <w:p>
      <w:pPr>
        <w:pStyle w:val="P2"/>
        <w:ind w:hanging="851" w:left="851"/>
        <w:rPr>
          <w:rStyle w:val="C3"/>
          <w:rFonts w:ascii="Courier New" w:hAnsi="Courier New"/>
          <w:u w:val="single"/>
        </w:rPr>
      </w:pPr>
    </w:p>
    <w:p>
      <w:pPr>
        <w:pStyle w:val="P2"/>
        <w:ind w:hanging="851" w:left="851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</w:t>
      </w:r>
      <w:r>
        <w:rPr>
          <w:rStyle w:val="C3"/>
          <w:rFonts w:ascii="Courier New" w:hAnsi="Courier New"/>
        </w:rPr>
        <w:t>: ESTABLÉZCASE</w:t>
      </w:r>
      <w:r>
        <w:rPr>
          <w:rStyle w:val="C3"/>
          <w:rFonts w:ascii="Courier New" w:hAnsi="Courier New"/>
          <w:b w:val="0"/>
        </w:rPr>
        <w:t xml:space="preserve"> que el plazo referido en el art. 1, se ext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ende hasta el 30 de Noviembre de 2005.</w:t>
      </w:r>
    </w:p>
    <w:p>
      <w:pPr>
        <w:pStyle w:val="P2"/>
        <w:rPr>
          <w:rStyle w:val="C3"/>
          <w:rFonts w:ascii="Courier New" w:hAnsi="Courier New"/>
          <w:b w:val="1"/>
        </w:rPr>
      </w:pPr>
    </w:p>
    <w:p>
      <w:pPr>
        <w:pStyle w:val="P2"/>
        <w:rPr>
          <w:rStyle w:val="C3"/>
          <w:rFonts w:ascii="Courier New" w:hAnsi="Courier New"/>
          <w:b w:val="1"/>
        </w:rPr>
      </w:pPr>
    </w:p>
    <w:p>
      <w:pPr>
        <w:pStyle w:val="P2"/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Art.3</w:t>
      </w:r>
      <w:r>
        <w:rPr>
          <w:rStyle w:val="C3"/>
          <w:rFonts w:ascii="Courier New" w:hAnsi="Courier New"/>
        </w:rPr>
        <w:t>: LA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 xml:space="preserve">presente  O</w:t>
      </w:r>
      <w:r>
        <w:rPr>
          <w:rStyle w:val="C3"/>
          <w:rFonts w:ascii="Courier New" w:hAnsi="Courier New"/>
          <w:b w:val="0"/>
        </w:rPr>
        <w:t>rdenanza t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en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 xml:space="preserve"> vigencia a partir de la fecha de su promulgación, conforme lo establece el artículo 24 </w:t>
      </w:r>
      <w:r>
        <w:rPr>
          <w:rStyle w:val="C3"/>
          <w:rFonts w:ascii="Courier New" w:hAnsi="Courier New"/>
          <w:b w:val="0"/>
        </w:rPr>
        <w:t>de la Carta Orgánica Municipal.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2"/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Art.4</w:t>
      </w:r>
      <w:r>
        <w:rPr>
          <w:rStyle w:val="C3"/>
          <w:rFonts w:ascii="Courier New" w:hAnsi="Courier New"/>
        </w:rPr>
        <w:t>: PROTOCOLÍCESE</w:t>
      </w:r>
      <w:r>
        <w:rPr>
          <w:rStyle w:val="C3"/>
          <w:rFonts w:ascii="Courier New" w:hAnsi="Courier New"/>
          <w:b w:val="0"/>
        </w:rPr>
        <w:t>, comuníquese, publíquese en el Boletín Oficial de la Ciudad de Alta Gracia, transcríbase al Libro de Ordenanzas y archívese.</w:t>
      </w:r>
    </w:p>
    <w:p>
      <w:pPr>
        <w:pStyle w:val="P2"/>
        <w:rPr>
          <w:rStyle w:val="C3"/>
          <w:rFonts w:ascii="Courier New" w:hAnsi="Courier New"/>
          <w:b w:val="1"/>
        </w:rPr>
      </w:pPr>
    </w:p>
    <w:p>
      <w:pPr>
        <w:pStyle w:val="P2"/>
        <w:rPr>
          <w:rStyle w:val="C3"/>
          <w:rFonts w:ascii="Courier New" w:hAnsi="Courier New"/>
          <w:b w:val="1"/>
        </w:rPr>
      </w:pPr>
    </w:p>
    <w:p>
      <w:pPr>
        <w:pStyle w:val="P2"/>
        <w:rPr>
          <w:rStyle w:val="C3"/>
          <w:rFonts w:ascii="Courier New" w:hAnsi="Courier New"/>
          <w:b w:val="1"/>
        </w:rPr>
      </w:pPr>
    </w:p>
    <w:p>
      <w:pPr>
        <w:pStyle w:val="P2"/>
        <w:rPr>
          <w:rStyle w:val="C3"/>
          <w:rFonts w:ascii="Courier New" w:hAnsi="Courier New"/>
          <w:b w:val="1"/>
        </w:rPr>
      </w:pPr>
    </w:p>
    <w:p>
      <w:pPr>
        <w:pStyle w:val="P2"/>
        <w:rPr>
          <w:rStyle w:val="C3"/>
          <w:rFonts w:ascii="Courier New" w:hAnsi="Courier New"/>
          <w:b w:val="1"/>
        </w:rPr>
      </w:pPr>
    </w:p>
    <w:p>
      <w:pPr>
        <w:pStyle w:val="P3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VEINTI</w:t>
      </w:r>
      <w:r>
        <w:rPr>
          <w:rStyle w:val="C3"/>
          <w:b w:val="1"/>
          <w:sz w:val="24"/>
        </w:rPr>
        <w:t>OCHO</w:t>
      </w:r>
      <w:r>
        <w:rPr>
          <w:rStyle w:val="C3"/>
          <w:b w:val="1"/>
          <w:sz w:val="24"/>
        </w:rPr>
        <w:t xml:space="preserve"> DÍAS DEL MES DE JULIO DEL AÑO DOS MIL CINCO.</w:t>
      </w:r>
    </w:p>
    <w:p>
      <w:pPr>
        <w:rPr>
          <w:rStyle w:val="C3"/>
          <w:rFonts w:ascii="Courier New" w:hAnsi="Courier New"/>
          <w:b w:val="1"/>
          <w:sz w:val="28"/>
        </w:rPr>
      </w:pPr>
    </w:p>
    <w:sectPr>
      <w:headerReference xmlns:r="http://schemas.openxmlformats.org/officeDocument/2006/relationships" w:type="default" r:id="RelHdr1"/>
      <w:type w:val="nextPage"/>
      <w:pgSz w:w="11907" w:h="16840" w:code="0"/>
      <w:pgMar w:left="1701" w:right="1701" w:top="1418" w:bottom="1418" w:header="708" w:footer="708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"/>
      <w:rPr>
        <w:rStyle w:val="C3"/>
        <w:rFonts w:ascii="Garamond" w:hAnsi="Garamond"/>
        <w:b w:val="1"/>
      </w:rPr>
    </w:pPr>
    <w:r>
      <w:rPr>
        <w:rStyle w:val="C3"/>
        <w:rFonts w:ascii="Garamond" w:hAnsi="Garamond"/>
        <w:b w:val="1"/>
      </w:rPr>
      <w:t xml:space="preserve">                         </w:t>
    </w:r>
  </w:p>
  <w:p>
    <w:pPr>
      <w:pStyle w:val="P1"/>
      <w:rPr>
        <w:rStyle w:val="C3"/>
        <w:rFonts w:ascii="Garamond" w:hAnsi="Garamond"/>
        <w:b w:val="1"/>
      </w:rPr>
    </w:pPr>
    <w:r>
      <w:rPr>
        <w:rStyle w:val="C3"/>
        <w:rFonts w:ascii="Garamond" w:hAnsi="Garamond"/>
        <w:b w:val="1"/>
      </w:rPr>
      <w:t xml:space="preserve">   </w:t>
    </w:r>
  </w:p>
  <w:p>
    <w:pPr>
      <w:pStyle w:val="P1"/>
      <w:rPr>
        <w:rStyle w:val="C3"/>
        <w:rFonts w:ascii="Garamond" w:hAnsi="Garamond"/>
        <w:b w:val="1"/>
      </w:rPr>
    </w:pPr>
    <w:r>
      <w:rPr>
        <w:rStyle w:val="C3"/>
        <w:rFonts w:ascii="Garamond" w:hAnsi="Garamond"/>
        <w:b w:val="1"/>
      </w:rPr>
      <w:t xml:space="preserve"> </w:t>
    </w:r>
  </w:p>
  <w:p>
    <w:pPr>
      <w:pStyle w:val="P1"/>
      <w:rPr>
        <w:rStyle w:val="C3"/>
      </w:rPr>
    </w:pPr>
  </w:p>
  <w:p>
    <w:pPr>
      <w:pStyle w:val="P1"/>
      <w:rPr>
        <w:rStyle w:val="C3"/>
      </w:rPr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Encabezado"/>
    <w:basedOn w:val="P0"/>
    <w:next w:val="P1"/>
    <w:pPr>
      <w:tabs>
        <w:tab w:val="center" w:pos="4419" w:leader="none"/>
        <w:tab w:val="right" w:pos="8838" w:leader="none"/>
      </w:tabs>
    </w:pPr>
    <w:rPr>
      <w:b w:val="0"/>
      <w:color w:val="auto"/>
    </w:rPr>
  </w:style>
  <w:style w:type="paragraph" w:styleId="P2">
    <w:name w:val="Texto independiente 3"/>
    <w:basedOn w:val="P0"/>
    <w:next w:val="P2"/>
    <w:pPr>
      <w:jc w:val="both"/>
    </w:pPr>
    <w:rPr>
      <w:rFonts w:ascii="Arial" w:hAnsi="Arial"/>
      <w:color w:val="auto"/>
    </w:rPr>
  </w:style>
  <w:style w:type="paragraph" w:styleId="P3">
    <w:name w:val="Texto sin formato"/>
    <w:basedOn w:val="P0"/>
    <w:next w:val="P3"/>
    <w:pPr/>
    <w:rPr>
      <w:rFonts w:ascii="Courier New" w:hAnsi="Courier New"/>
      <w:b w:val="0"/>
      <w:color w:val="auto"/>
      <w:sz w:val="20"/>
    </w:rPr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2005-07-27T14:57:00Z</dcterms:created>
  <cp:lastModifiedBy>Ethan Puglia</cp:lastModifiedBy>
  <cp:lastPrinted>2005-08-02T14:19:00Z</cp:lastPrinted>
  <dcterms:modified xsi:type="dcterms:W3CDTF">2019-03-28T17:34:06Z</dcterms:modified>
  <cp:revision>7</cp:revision>
  <dc:title>PROYECTO DE ORDENANZA</dc:title>
</cp:coreProperties>
</file>