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249A4FF1" Type="http://schemas.openxmlformats.org/officeDocument/2006/relationships/officeDocument" Target="/word/document.xml" /><Relationship Id="coreR249A4FF1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1"/>
        <w:jc w:val="center"/>
        <w:rPr>
          <w:rStyle w:val="C3"/>
          <w:b w:val="1"/>
          <w:sz w:val="24"/>
          <w:u w:val="single"/>
        </w:rPr>
      </w:pPr>
    </w:p>
    <w:p>
      <w:pPr>
        <w:pStyle w:val="P1"/>
        <w:jc w:val="center"/>
        <w:rPr>
          <w:rStyle w:val="C3"/>
          <w:b w:val="1"/>
          <w:sz w:val="24"/>
          <w:u w:val="single"/>
        </w:rPr>
      </w:pPr>
    </w:p>
    <w:p>
      <w:pPr>
        <w:pStyle w:val="P1"/>
        <w:jc w:val="center"/>
        <w:rPr>
          <w:rStyle w:val="C3"/>
          <w:b w:val="1"/>
          <w:sz w:val="24"/>
          <w:u w:val="single"/>
        </w:rPr>
      </w:pPr>
      <w:r>
        <w:rPr>
          <w:rStyle w:val="C3"/>
          <w:b w:val="1"/>
          <w:sz w:val="24"/>
          <w:u w:val="single"/>
        </w:rPr>
        <w:t>ORDENANZA Nº 7</w:t>
      </w:r>
      <w:r>
        <w:rPr>
          <w:rStyle w:val="C3"/>
          <w:b w:val="1"/>
          <w:sz w:val="24"/>
          <w:u w:val="single"/>
        </w:rPr>
        <w:t>27</w:t>
      </w:r>
      <w:r>
        <w:rPr>
          <w:rStyle w:val="C3"/>
          <w:b w:val="1"/>
          <w:sz w:val="24"/>
          <w:u w:val="single"/>
        </w:rPr>
        <w:t>1</w:t>
      </w:r>
    </w:p>
    <w:p>
      <w:pPr>
        <w:pStyle w:val="P1"/>
        <w:jc w:val="center"/>
        <w:rPr>
          <w:rStyle w:val="C3"/>
          <w:sz w:val="24"/>
        </w:rPr>
      </w:pPr>
      <w:r>
        <w:rPr>
          <w:rStyle w:val="C3"/>
          <w:b w:val="1"/>
          <w:sz w:val="24"/>
          <w:u w:val="single"/>
        </w:rPr>
        <w:t xml:space="preserve">  </w:t>
      </w:r>
    </w:p>
    <w:p>
      <w:pPr>
        <w:pStyle w:val="P1"/>
        <w:ind w:hanging="709" w:left="709"/>
        <w:jc w:val="center"/>
        <w:rPr>
          <w:rStyle w:val="C3"/>
          <w:sz w:val="24"/>
        </w:rPr>
      </w:pPr>
    </w:p>
    <w:p>
      <w:pPr>
        <w:pStyle w:val="P1"/>
        <w:ind w:hanging="709" w:left="709"/>
        <w:jc w:val="both"/>
        <w:rPr>
          <w:rStyle w:val="C3"/>
          <w:sz w:val="24"/>
        </w:rPr>
      </w:pPr>
      <w:r>
        <w:rPr>
          <w:rStyle w:val="C3"/>
          <w:sz w:val="24"/>
        </w:rPr>
        <w:t>Visto: Los Expedientes Nº 1408/02 y 99/I/05 donde se solicita exención de Tasa por Servicios de Administración y Mantenimiento de los Cementerios; y</w:t>
      </w:r>
    </w:p>
    <w:p>
      <w:pPr>
        <w:pStyle w:val="P1"/>
        <w:ind w:left="2832"/>
        <w:rPr>
          <w:rStyle w:val="C3"/>
          <w:b w:val="1"/>
          <w:sz w:val="24"/>
        </w:rPr>
      </w:pPr>
      <w:r>
        <w:rPr>
          <w:rStyle w:val="C3"/>
          <w:b w:val="1"/>
          <w:sz w:val="24"/>
        </w:rPr>
        <w:t xml:space="preserve"> </w:t>
      </w:r>
    </w:p>
    <w:p>
      <w:pPr>
        <w:pStyle w:val="P1"/>
        <w:ind w:left="2832"/>
        <w:rPr>
          <w:rStyle w:val="C3"/>
          <w:b w:val="1"/>
          <w:sz w:val="24"/>
        </w:rPr>
      </w:pPr>
    </w:p>
    <w:p>
      <w:pPr>
        <w:pStyle w:val="P1"/>
        <w:ind w:left="2832"/>
        <w:rPr>
          <w:rStyle w:val="C3"/>
          <w:b w:val="1"/>
          <w:sz w:val="24"/>
        </w:rPr>
      </w:pPr>
      <w:r>
        <w:rPr>
          <w:rStyle w:val="C3"/>
          <w:b w:val="1"/>
          <w:sz w:val="24"/>
        </w:rPr>
        <w:t xml:space="preserve">  C O N S I D E R A N D O</w:t>
      </w:r>
    </w:p>
    <w:p>
      <w:pPr>
        <w:pStyle w:val="P2"/>
        <w:ind w:left="0"/>
        <w:rPr>
          <w:rStyle w:val="C3"/>
          <w:rFonts w:ascii="Courier New" w:hAnsi="Courier New"/>
        </w:rPr>
      </w:pPr>
    </w:p>
    <w:p>
      <w:pPr>
        <w:pStyle w:val="P2"/>
        <w:ind w:left="0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ab/>
      </w:r>
    </w:p>
    <w:p>
      <w:pPr>
        <w:pStyle w:val="P2"/>
        <w:ind w:hanging="709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ab/>
        <w:t>Que se trata de solicitudes de exenciones para diferentes vecinos de nuestra ciudad;</w:t>
      </w:r>
    </w:p>
    <w:p>
      <w:pPr>
        <w:pStyle w:val="P2"/>
        <w:ind w:hanging="1"/>
        <w:rPr>
          <w:rStyle w:val="C3"/>
          <w:rFonts w:ascii="Courier New" w:hAnsi="Courier New"/>
        </w:rPr>
      </w:pPr>
    </w:p>
    <w:p>
      <w:pPr>
        <w:pStyle w:val="P2"/>
        <w:ind w:hanging="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los respectivos estudios socioeconómicos informan que se trata de familias que atraviesan difíciles situaciones que determinan la imposibilidad de hacer frente a muchas necesidades básicas,</w:t>
      </w:r>
    </w:p>
    <w:p>
      <w:pPr>
        <w:pStyle w:val="P2"/>
        <w:ind w:hanging="1"/>
        <w:rPr>
          <w:rStyle w:val="C3"/>
          <w:rFonts w:ascii="Courier New" w:hAnsi="Courier New"/>
        </w:rPr>
      </w:pPr>
    </w:p>
    <w:p>
      <w:pPr>
        <w:pStyle w:val="P2"/>
        <w:ind w:hanging="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Que, generalmente, realizan trabajos inestables (changas) para poder lograr su subsistencia mínima;</w:t>
      </w:r>
    </w:p>
    <w:p>
      <w:pPr>
        <w:pStyle w:val="P2"/>
        <w:ind w:hanging="1"/>
        <w:rPr>
          <w:rStyle w:val="C3"/>
          <w:rFonts w:ascii="Courier New" w:hAnsi="Courier New"/>
        </w:rPr>
      </w:pPr>
    </w:p>
    <w:p>
      <w:pPr>
        <w:pStyle w:val="P2"/>
        <w:ind w:hanging="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generalmente, presentan importantes problemas de salud con tratamiento permanente y gastos en medicamentos que le impiden afrontar las deudas contraídas;</w:t>
      </w:r>
    </w:p>
    <w:p>
      <w:pPr>
        <w:pStyle w:val="P2"/>
        <w:ind w:hanging="1"/>
        <w:rPr>
          <w:rStyle w:val="C3"/>
          <w:rFonts w:ascii="Courier New" w:hAnsi="Courier New"/>
        </w:rPr>
      </w:pPr>
    </w:p>
    <w:p>
      <w:pPr>
        <w:pStyle w:val="P2"/>
        <w:ind w:hanging="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a través de las respectivas oficinas municipales se cumplimentaron los informes necesarios a los efectos de hacer posibles las exenciones solicitadas;</w:t>
      </w:r>
    </w:p>
    <w:p>
      <w:pPr>
        <w:pStyle w:val="P2"/>
        <w:ind w:hanging="1"/>
        <w:rPr>
          <w:rStyle w:val="C3"/>
          <w:rFonts w:ascii="Courier New" w:hAnsi="Courier New"/>
        </w:rPr>
      </w:pPr>
    </w:p>
    <w:p>
      <w:pPr>
        <w:pStyle w:val="P2"/>
        <w:ind w:hanging="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Que evaluado el contenido de cada uno de los Expedientes mencionados por Comisión de Hacienda, la misma emite despacho accediendo a lo solicitado en el marco de las Ordenanzas vigentes, despacho aprobado por unanimidad en Sesión Ordinaria de fecha 28 de julio de 2005.   </w:t>
      </w:r>
    </w:p>
    <w:p>
      <w:pPr>
        <w:pStyle w:val="P2"/>
        <w:ind w:hanging="1"/>
        <w:rPr>
          <w:rStyle w:val="C3"/>
          <w:rFonts w:ascii="Courier New" w:hAnsi="Courier New"/>
        </w:rPr>
      </w:pPr>
    </w:p>
    <w:p>
      <w:pPr>
        <w:pStyle w:val="P2"/>
        <w:ind w:hanging="1"/>
        <w:rPr>
          <w:rStyle w:val="C3"/>
          <w:rFonts w:ascii="Courier New" w:hAnsi="Courier New"/>
        </w:rPr>
      </w:pPr>
    </w:p>
    <w:p>
      <w:pPr>
        <w:pStyle w:val="P1"/>
        <w:jc w:val="both"/>
        <w:rPr>
          <w:rStyle w:val="C3"/>
          <w:sz w:val="24"/>
        </w:rPr>
      </w:pPr>
    </w:p>
    <w:p>
      <w:pPr>
        <w:pStyle w:val="P1"/>
        <w:ind w:firstLine="708" w:left="708"/>
        <w:rPr>
          <w:rStyle w:val="C3"/>
          <w:b w:val="1"/>
          <w:sz w:val="24"/>
        </w:rPr>
      </w:pPr>
      <w:r>
        <w:rPr>
          <w:rStyle w:val="C3"/>
          <w:b w:val="1"/>
          <w:sz w:val="24"/>
        </w:rPr>
        <w:t>EL HONORABLE CONCEJO DELIBERANTE DE LA CIUDAD DE</w:t>
      </w:r>
    </w:p>
    <w:p>
      <w:pPr>
        <w:pStyle w:val="P1"/>
        <w:ind w:left="709"/>
        <w:jc w:val="center"/>
        <w:rPr>
          <w:rStyle w:val="C3"/>
          <w:b w:val="1"/>
          <w:sz w:val="24"/>
        </w:rPr>
      </w:pPr>
    </w:p>
    <w:p>
      <w:pPr>
        <w:pStyle w:val="P1"/>
        <w:ind w:left="709"/>
        <w:jc w:val="center"/>
        <w:rPr>
          <w:rStyle w:val="C3"/>
          <w:b w:val="1"/>
          <w:sz w:val="24"/>
        </w:rPr>
      </w:pPr>
    </w:p>
    <w:p>
      <w:pPr>
        <w:pStyle w:val="P1"/>
        <w:ind w:left="709"/>
        <w:jc w:val="center"/>
        <w:rPr>
          <w:rStyle w:val="C3"/>
          <w:b w:val="1"/>
          <w:sz w:val="24"/>
        </w:rPr>
      </w:pPr>
    </w:p>
    <w:p>
      <w:pPr>
        <w:pStyle w:val="P1"/>
        <w:ind w:left="1416"/>
        <w:rPr>
          <w:rStyle w:val="C3"/>
          <w:b w:val="1"/>
          <w:sz w:val="24"/>
        </w:rPr>
      </w:pPr>
      <w:r>
        <w:rPr>
          <w:rStyle w:val="C3"/>
          <w:b w:val="1"/>
          <w:sz w:val="24"/>
        </w:rPr>
        <w:t xml:space="preserve"> ALTA GRACIA SANCIONA CON FUERZA DE ORDENANZA</w:t>
      </w:r>
    </w:p>
    <w:p>
      <w:pPr>
        <w:pStyle w:val="P1"/>
        <w:jc w:val="right"/>
        <w:rPr>
          <w:rStyle w:val="C3"/>
          <w:sz w:val="24"/>
        </w:rPr>
      </w:pPr>
    </w:p>
    <w:p>
      <w:pPr>
        <w:pStyle w:val="P1"/>
        <w:jc w:val="right"/>
        <w:rPr>
          <w:rStyle w:val="C3"/>
          <w:sz w:val="24"/>
        </w:rPr>
      </w:pPr>
      <w:r>
        <w:rPr>
          <w:rStyle w:val="C3"/>
          <w:sz w:val="24"/>
        </w:rPr>
        <w:t>...///</w:t>
      </w:r>
    </w:p>
    <w:p>
      <w:pPr>
        <w:pStyle w:val="P1"/>
        <w:jc w:val="right"/>
        <w:rPr>
          <w:rStyle w:val="C3"/>
          <w:sz w:val="24"/>
        </w:rPr>
      </w:pPr>
    </w:p>
    <w:p>
      <w:pPr>
        <w:pStyle w:val="P1"/>
        <w:jc w:val="right"/>
        <w:rPr>
          <w:rStyle w:val="C3"/>
          <w:sz w:val="24"/>
        </w:rPr>
      </w:pPr>
    </w:p>
    <w:p>
      <w:pPr>
        <w:pStyle w:val="P1"/>
        <w:jc w:val="right"/>
        <w:rPr>
          <w:rStyle w:val="C3"/>
          <w:sz w:val="24"/>
        </w:rPr>
      </w:pPr>
    </w:p>
    <w:p>
      <w:pPr>
        <w:pStyle w:val="P1"/>
        <w:jc w:val="right"/>
        <w:rPr>
          <w:rStyle w:val="C3"/>
          <w:sz w:val="24"/>
        </w:rPr>
      </w:pPr>
    </w:p>
    <w:p>
      <w:pPr>
        <w:pStyle w:val="P1"/>
        <w:jc w:val="right"/>
        <w:rPr>
          <w:rStyle w:val="C3"/>
          <w:sz w:val="24"/>
        </w:rPr>
      </w:pPr>
    </w:p>
    <w:p>
      <w:pPr>
        <w:pStyle w:val="P1"/>
        <w:jc w:val="right"/>
        <w:rPr>
          <w:rStyle w:val="C3"/>
          <w:sz w:val="24"/>
        </w:rPr>
      </w:pPr>
    </w:p>
    <w:p>
      <w:pPr>
        <w:pStyle w:val="P1"/>
        <w:jc w:val="right"/>
        <w:rPr>
          <w:rStyle w:val="C3"/>
          <w:sz w:val="24"/>
        </w:rPr>
      </w:pPr>
    </w:p>
    <w:p>
      <w:pPr>
        <w:pStyle w:val="P1"/>
        <w:jc w:val="both"/>
        <w:rPr>
          <w:rStyle w:val="C3"/>
          <w:sz w:val="24"/>
        </w:rPr>
      </w:pPr>
    </w:p>
    <w:p>
      <w:pPr>
        <w:pStyle w:val="P1"/>
        <w:jc w:val="both"/>
        <w:rPr>
          <w:rStyle w:val="C3"/>
          <w:b w:val="1"/>
          <w:sz w:val="24"/>
          <w:u w:val="single"/>
        </w:rPr>
      </w:pPr>
      <w:r>
        <w:rPr>
          <w:rStyle w:val="C3"/>
          <w:sz w:val="24"/>
        </w:rPr>
        <w:t>...///2.-</w:t>
      </w:r>
    </w:p>
    <w:p>
      <w:pPr>
        <w:pStyle w:val="P1"/>
        <w:jc w:val="both"/>
        <w:rPr>
          <w:rStyle w:val="C3"/>
          <w:b w:val="1"/>
          <w:sz w:val="24"/>
          <w:u w:val="single"/>
        </w:rPr>
      </w:pPr>
    </w:p>
    <w:p>
      <w:pPr>
        <w:pStyle w:val="P1"/>
        <w:ind w:hanging="709" w:left="709"/>
        <w:jc w:val="both"/>
        <w:rPr>
          <w:rStyle w:val="C3"/>
          <w:sz w:val="24"/>
        </w:rPr>
      </w:pPr>
      <w:r>
        <w:rPr>
          <w:rStyle w:val="C3"/>
          <w:b w:val="1"/>
          <w:sz w:val="24"/>
          <w:u w:val="single"/>
        </w:rPr>
        <w:t>Art.1</w:t>
      </w:r>
      <w:r>
        <w:rPr>
          <w:rStyle w:val="C3"/>
          <w:b w:val="1"/>
          <w:sz w:val="24"/>
        </w:rPr>
        <w:t>:</w:t>
      </w:r>
      <w:r>
        <w:rPr>
          <w:rStyle w:val="C3"/>
          <w:sz w:val="24"/>
        </w:rPr>
        <w:t xml:space="preserve"> </w:t>
      </w:r>
      <w:r>
        <w:rPr>
          <w:rStyle w:val="C3"/>
          <w:b w:val="1"/>
          <w:sz w:val="24"/>
        </w:rPr>
        <w:t>REALÍCESE</w:t>
      </w:r>
      <w:r>
        <w:rPr>
          <w:rStyle w:val="C3"/>
          <w:sz w:val="24"/>
        </w:rPr>
        <w:t xml:space="preserve"> Plan de Pagos a valores históricos a los responsables de las siguientes identificaciones con el saldo de la deuda que en concepto de Tasa por Servicios de Administración y Mantenimiento de los Cementerios mantienen   las identificaciones correspondientes, con cuotas mensuales que no superen los montos que se detallan a continuación:</w:t>
      </w:r>
    </w:p>
    <w:p>
      <w:pPr>
        <w:pStyle w:val="P1"/>
        <w:ind w:hanging="709" w:left="709"/>
        <w:jc w:val="both"/>
        <w:rPr>
          <w:rStyle w:val="C3"/>
          <w:b w:val="1"/>
          <w:sz w:val="24"/>
          <w:u w:val="single"/>
        </w:rPr>
      </w:pPr>
    </w:p>
    <w:tbl>
      <w:tblPr>
        <w:tblStyle w:val="T2"/>
        <w:tblW w:w="0" w:type="auto"/>
        <w:tblBorders>
          <w:top w:val="single" w:sz="4" w:space="0" w:shadow="0" w:frame="0"/>
          <w:left w:val="single" w:sz="4" w:space="0" w:shadow="0" w:frame="0"/>
          <w:bottom w:val="single" w:sz="4" w:space="0" w:shadow="0" w:frame="0"/>
          <w:right w:val="single" w:sz="4" w:space="0" w:shadow="0" w:frame="0"/>
          <w:insideH w:val="single" w:sz="4" w:space="0" w:shadow="0" w:frame="0"/>
          <w:insideV w:val="single" w:sz="4" w:space="0" w:shadow="0" w:frame="0"/>
        </w:tblBorders>
        <w:tblLayout w:type="fixed"/>
        <w:tblCellMar>
          <w:top w:w="0" w:type="dxa"/>
          <w:left w:w="70" w:type="dxa"/>
          <w:bottom w:w="0" w:type="dxa"/>
          <w:right w:w="70" w:type="dxa"/>
        </w:tblCellMar>
      </w:tblPr>
      <w:tblGrid/>
      <w:tr>
        <w:trPr/>
        <w:tc>
          <w:tcPr>
            <w:tcW w:w="1771" w:type="dxa"/>
            <w:vAlign w:val="center"/>
          </w:tcPr>
          <w:p>
            <w:pPr>
              <w:pStyle w:val="P1"/>
              <w:jc w:val="center"/>
              <w:rPr>
                <w:rStyle w:val="C3"/>
                <w:b w:val="1"/>
                <w:sz w:val="24"/>
              </w:rPr>
            </w:pPr>
            <w:r>
              <w:rPr>
                <w:rStyle w:val="C3"/>
                <w:b w:val="1"/>
                <w:sz w:val="24"/>
              </w:rPr>
              <w:t>Expte. N°</w:t>
            </w:r>
          </w:p>
        </w:tc>
        <w:tc>
          <w:tcPr>
            <w:tcW w:w="2268" w:type="dxa"/>
            <w:vAlign w:val="center"/>
          </w:tcPr>
          <w:p>
            <w:pPr>
              <w:pStyle w:val="P1"/>
              <w:jc w:val="center"/>
              <w:rPr>
                <w:rStyle w:val="C3"/>
                <w:b w:val="1"/>
                <w:sz w:val="24"/>
              </w:rPr>
            </w:pPr>
            <w:r>
              <w:rPr>
                <w:rStyle w:val="C3"/>
                <w:b w:val="1"/>
                <w:sz w:val="24"/>
              </w:rPr>
              <w:t>Identificación N°</w:t>
            </w:r>
          </w:p>
        </w:tc>
        <w:tc>
          <w:tcPr>
            <w:tcW w:w="2268" w:type="dxa"/>
            <w:vAlign w:val="center"/>
          </w:tcPr>
          <w:p>
            <w:pPr>
              <w:pStyle w:val="P1"/>
              <w:jc w:val="center"/>
              <w:rPr>
                <w:rStyle w:val="C3"/>
                <w:b w:val="1"/>
                <w:sz w:val="24"/>
              </w:rPr>
            </w:pPr>
            <w:r>
              <w:rPr>
                <w:rStyle w:val="C3"/>
                <w:b w:val="1"/>
                <w:sz w:val="24"/>
              </w:rPr>
              <w:t>Cuota m</w:t>
            </w:r>
            <w:r>
              <w:rPr>
                <w:rStyle w:val="C3"/>
                <w:b w:val="1"/>
                <w:sz w:val="24"/>
              </w:rPr>
              <w:t>ensual</w:t>
            </w:r>
          </w:p>
        </w:tc>
        <w:tc>
          <w:tcPr>
            <w:tcW w:w="1276" w:type="dxa"/>
            <w:vAlign w:val="center"/>
          </w:tcPr>
          <w:p>
            <w:pPr>
              <w:pStyle w:val="P1"/>
              <w:jc w:val="center"/>
              <w:rPr>
                <w:rStyle w:val="C3"/>
                <w:b w:val="1"/>
                <w:sz w:val="24"/>
              </w:rPr>
            </w:pPr>
            <w:r>
              <w:rPr>
                <w:rStyle w:val="C3"/>
                <w:b w:val="1"/>
                <w:sz w:val="24"/>
              </w:rPr>
              <w:t>Desde</w:t>
            </w:r>
          </w:p>
        </w:tc>
        <w:tc>
          <w:tcPr>
            <w:tcW w:w="1985" w:type="dxa"/>
            <w:vAlign w:val="center"/>
          </w:tcPr>
          <w:p>
            <w:pPr>
              <w:pStyle w:val="P1"/>
              <w:jc w:val="center"/>
              <w:rPr>
                <w:rStyle w:val="C3"/>
                <w:b w:val="1"/>
                <w:sz w:val="24"/>
              </w:rPr>
            </w:pPr>
            <w:r>
              <w:rPr>
                <w:rStyle w:val="C3"/>
                <w:b w:val="1"/>
                <w:sz w:val="24"/>
              </w:rPr>
              <w:t>Hasta</w:t>
            </w:r>
          </w:p>
        </w:tc>
      </w:tr>
      <w:tr>
        <w:trPr/>
        <w:tc>
          <w:tcPr>
            <w:tcW w:w="1771" w:type="dxa"/>
            <w:vAlign w:val="center"/>
          </w:tcPr>
          <w:p>
            <w:pPr>
              <w:pStyle w:val="P1"/>
              <w:jc w:val="center"/>
              <w:rPr>
                <w:rStyle w:val="C3"/>
                <w:sz w:val="24"/>
              </w:rPr>
            </w:pPr>
            <w:r>
              <w:rPr>
                <w:rStyle w:val="C3"/>
                <w:sz w:val="24"/>
              </w:rPr>
              <w:t>1408/02</w:t>
            </w:r>
          </w:p>
        </w:tc>
        <w:tc>
          <w:tcPr>
            <w:tcW w:w="2268" w:type="dxa"/>
            <w:vAlign w:val="center"/>
          </w:tcPr>
          <w:p>
            <w:pPr>
              <w:pStyle w:val="P1"/>
              <w:jc w:val="center"/>
              <w:rPr>
                <w:rStyle w:val="C3"/>
                <w:sz w:val="24"/>
              </w:rPr>
            </w:pPr>
            <w:r>
              <w:rPr>
                <w:rStyle w:val="C3"/>
                <w:sz w:val="24"/>
              </w:rPr>
              <w:t>5888 y 8299</w:t>
            </w:r>
          </w:p>
        </w:tc>
        <w:tc>
          <w:tcPr>
            <w:tcW w:w="2268" w:type="dxa"/>
            <w:vAlign w:val="center"/>
          </w:tcPr>
          <w:p>
            <w:pPr>
              <w:pStyle w:val="P1"/>
              <w:jc w:val="center"/>
              <w:rPr>
                <w:rStyle w:val="C3"/>
                <w:sz w:val="24"/>
              </w:rPr>
            </w:pPr>
            <w:r>
              <w:rPr>
                <w:rStyle w:val="C3"/>
                <w:sz w:val="24"/>
              </w:rPr>
              <w:t>$28.-</w:t>
            </w:r>
          </w:p>
        </w:tc>
        <w:tc>
          <w:tcPr>
            <w:tcW w:w="1276" w:type="dxa"/>
            <w:vAlign w:val="center"/>
          </w:tcPr>
          <w:p>
            <w:pPr>
              <w:pStyle w:val="P1"/>
              <w:jc w:val="center"/>
              <w:rPr>
                <w:rStyle w:val="C3"/>
                <w:sz w:val="24"/>
              </w:rPr>
            </w:pPr>
            <w:r>
              <w:rPr>
                <w:rStyle w:val="C3"/>
                <w:sz w:val="24"/>
              </w:rPr>
              <w:t>1996</w:t>
            </w:r>
          </w:p>
        </w:tc>
        <w:tc>
          <w:tcPr>
            <w:tcW w:w="1985" w:type="dxa"/>
            <w:vAlign w:val="center"/>
          </w:tcPr>
          <w:p>
            <w:pPr>
              <w:pStyle w:val="P1"/>
              <w:jc w:val="center"/>
              <w:rPr>
                <w:rStyle w:val="C3"/>
                <w:sz w:val="24"/>
              </w:rPr>
            </w:pPr>
            <w:r>
              <w:rPr>
                <w:rStyle w:val="C3"/>
                <w:sz w:val="24"/>
              </w:rPr>
              <w:t>Dic. 2004 Inclusive</w:t>
            </w:r>
          </w:p>
        </w:tc>
      </w:tr>
      <w:tr>
        <w:trPr/>
        <w:tc>
          <w:tcPr>
            <w:tcW w:w="1771" w:type="dxa"/>
            <w:vAlign w:val="center"/>
          </w:tcPr>
          <w:p>
            <w:pPr>
              <w:pStyle w:val="P1"/>
              <w:jc w:val="center"/>
              <w:rPr>
                <w:rStyle w:val="C3"/>
                <w:sz w:val="24"/>
              </w:rPr>
            </w:pPr>
            <w:r>
              <w:rPr>
                <w:rStyle w:val="C3"/>
                <w:sz w:val="24"/>
              </w:rPr>
              <w:t>99/I/05</w:t>
            </w:r>
          </w:p>
        </w:tc>
        <w:tc>
          <w:tcPr>
            <w:tcW w:w="2268" w:type="dxa"/>
            <w:vAlign w:val="center"/>
          </w:tcPr>
          <w:p>
            <w:pPr>
              <w:pStyle w:val="P1"/>
              <w:jc w:val="center"/>
              <w:rPr>
                <w:rStyle w:val="C3"/>
                <w:sz w:val="24"/>
              </w:rPr>
            </w:pPr>
            <w:r>
              <w:rPr>
                <w:rStyle w:val="C3"/>
                <w:sz w:val="24"/>
              </w:rPr>
              <w:t>3528</w:t>
            </w:r>
          </w:p>
        </w:tc>
        <w:tc>
          <w:tcPr>
            <w:tcW w:w="2268" w:type="dxa"/>
            <w:vAlign w:val="center"/>
          </w:tcPr>
          <w:p>
            <w:pPr>
              <w:pStyle w:val="P1"/>
              <w:jc w:val="center"/>
              <w:rPr>
                <w:rStyle w:val="C3"/>
                <w:sz w:val="24"/>
              </w:rPr>
            </w:pPr>
            <w:r>
              <w:rPr>
                <w:rStyle w:val="C3"/>
                <w:sz w:val="24"/>
              </w:rPr>
              <w:t>$10.-</w:t>
            </w:r>
          </w:p>
        </w:tc>
        <w:tc>
          <w:tcPr>
            <w:tcW w:w="1276" w:type="dxa"/>
            <w:vAlign w:val="center"/>
          </w:tcPr>
          <w:p>
            <w:pPr>
              <w:pStyle w:val="P1"/>
              <w:jc w:val="center"/>
              <w:rPr>
                <w:rStyle w:val="C3"/>
                <w:sz w:val="24"/>
              </w:rPr>
            </w:pPr>
            <w:r>
              <w:rPr>
                <w:rStyle w:val="C3"/>
                <w:sz w:val="24"/>
              </w:rPr>
              <w:t>-</w:t>
            </w:r>
          </w:p>
        </w:tc>
        <w:tc>
          <w:tcPr>
            <w:tcW w:w="1985" w:type="dxa"/>
            <w:vAlign w:val="center"/>
          </w:tcPr>
          <w:p>
            <w:pPr>
              <w:pStyle w:val="P1"/>
              <w:jc w:val="center"/>
              <w:rPr>
                <w:rStyle w:val="C3"/>
                <w:sz w:val="24"/>
              </w:rPr>
            </w:pPr>
            <w:r>
              <w:rPr>
                <w:rStyle w:val="C3"/>
                <w:sz w:val="24"/>
              </w:rPr>
              <w:t>promulgación de la presente</w:t>
            </w:r>
          </w:p>
        </w:tc>
      </w:tr>
    </w:tbl>
    <w:p>
      <w:pPr>
        <w:pStyle w:val="P1"/>
        <w:rPr>
          <w:rStyle w:val="C3"/>
          <w:sz w:val="24"/>
        </w:rPr>
      </w:pPr>
    </w:p>
    <w:p>
      <w:pPr>
        <w:pStyle w:val="P1"/>
        <w:rPr>
          <w:rStyle w:val="C3"/>
          <w:sz w:val="24"/>
        </w:rPr>
      </w:pPr>
    </w:p>
    <w:p>
      <w:pPr>
        <w:pStyle w:val="P1"/>
        <w:ind w:hanging="709" w:left="709"/>
        <w:jc w:val="both"/>
        <w:rPr>
          <w:rStyle w:val="C3"/>
          <w:sz w:val="24"/>
        </w:rPr>
      </w:pPr>
      <w:r>
        <w:rPr>
          <w:rStyle w:val="C3"/>
          <w:b w:val="1"/>
          <w:sz w:val="24"/>
          <w:u w:val="single"/>
        </w:rPr>
        <w:t>Art.2</w:t>
      </w:r>
      <w:r>
        <w:rPr>
          <w:rStyle w:val="C3"/>
          <w:b w:val="1"/>
          <w:sz w:val="24"/>
        </w:rPr>
        <w:t>: SOLICITA</w:t>
      </w:r>
      <w:r>
        <w:rPr>
          <w:rStyle w:val="C3"/>
          <w:b w:val="1"/>
          <w:sz w:val="24"/>
        </w:rPr>
        <w:t>SE</w:t>
      </w:r>
      <w:r>
        <w:rPr>
          <w:rStyle w:val="C3"/>
          <w:b w:val="1"/>
          <w:sz w:val="24"/>
        </w:rPr>
        <w:t xml:space="preserve"> </w:t>
      </w:r>
      <w:r>
        <w:rPr>
          <w:rStyle w:val="C3"/>
          <w:sz w:val="24"/>
        </w:rPr>
        <w:t>al Sr. Intendente que interceda ante los Procuradores actuantes a los fines de dejar sin efecto los juicios iniciados a los responsables de las siguientes identificaciones respecto de los correspondientes años que se detallan a continuación de:</w:t>
      </w:r>
    </w:p>
    <w:p>
      <w:pPr>
        <w:pStyle w:val="P1"/>
        <w:ind w:hanging="709" w:left="709"/>
        <w:jc w:val="both"/>
        <w:rPr>
          <w:rStyle w:val="C3"/>
          <w:sz w:val="24"/>
        </w:rPr>
      </w:pPr>
    </w:p>
    <w:tbl>
      <w:tblPr>
        <w:tblStyle w:val="T2"/>
        <w:tblW w:w="0" w:type="auto"/>
        <w:tblBorders>
          <w:top w:val="single" w:sz="4" w:space="0" w:shadow="0" w:frame="0"/>
          <w:left w:val="single" w:sz="4" w:space="0" w:shadow="0" w:frame="0"/>
          <w:bottom w:val="single" w:sz="4" w:space="0" w:shadow="0" w:frame="0"/>
          <w:right w:val="single" w:sz="4" w:space="0" w:shadow="0" w:frame="0"/>
          <w:insideH w:val="single" w:sz="4" w:space="0" w:shadow="0" w:frame="0"/>
          <w:insideV w:val="single" w:sz="4" w:space="0" w:shadow="0" w:frame="0"/>
        </w:tblBorders>
        <w:tblLayout w:type="fixed"/>
        <w:tblCellMar>
          <w:top w:w="0" w:type="dxa"/>
          <w:left w:w="70" w:type="dxa"/>
          <w:bottom w:w="0" w:type="dxa"/>
          <w:right w:w="70" w:type="dxa"/>
        </w:tblCellMar>
      </w:tblPr>
      <w:tblGrid/>
      <w:tr>
        <w:trPr/>
        <w:tc>
          <w:tcPr>
            <w:tcW w:w="1913" w:type="dxa"/>
            <w:vAlign w:val="center"/>
          </w:tcPr>
          <w:p>
            <w:pPr>
              <w:pStyle w:val="P1"/>
              <w:jc w:val="center"/>
              <w:rPr>
                <w:rStyle w:val="C3"/>
                <w:b w:val="1"/>
                <w:sz w:val="24"/>
              </w:rPr>
            </w:pPr>
            <w:r>
              <w:rPr>
                <w:rStyle w:val="C3"/>
                <w:b w:val="1"/>
                <w:sz w:val="24"/>
              </w:rPr>
              <w:t>Titular</w:t>
            </w:r>
          </w:p>
        </w:tc>
        <w:tc>
          <w:tcPr>
            <w:tcW w:w="2789" w:type="dxa"/>
            <w:vAlign w:val="center"/>
          </w:tcPr>
          <w:p>
            <w:pPr>
              <w:pStyle w:val="P1"/>
              <w:jc w:val="center"/>
              <w:rPr>
                <w:rStyle w:val="C3"/>
                <w:b w:val="1"/>
                <w:sz w:val="24"/>
              </w:rPr>
            </w:pPr>
            <w:r>
              <w:rPr>
                <w:rStyle w:val="C3"/>
                <w:b w:val="1"/>
                <w:sz w:val="24"/>
              </w:rPr>
              <w:t>Identificaciones</w:t>
            </w:r>
          </w:p>
        </w:tc>
        <w:tc>
          <w:tcPr>
            <w:tcW w:w="2351" w:type="dxa"/>
            <w:vAlign w:val="center"/>
          </w:tcPr>
          <w:p>
            <w:pPr>
              <w:pStyle w:val="P1"/>
              <w:jc w:val="center"/>
              <w:rPr>
                <w:rStyle w:val="C3"/>
                <w:b w:val="1"/>
                <w:sz w:val="24"/>
              </w:rPr>
            </w:pPr>
            <w:r>
              <w:rPr>
                <w:rStyle w:val="C3"/>
                <w:b w:val="1"/>
                <w:sz w:val="24"/>
              </w:rPr>
              <w:t>Expte N°</w:t>
            </w:r>
          </w:p>
        </w:tc>
        <w:tc>
          <w:tcPr>
            <w:tcW w:w="2351" w:type="dxa"/>
            <w:vAlign w:val="center"/>
          </w:tcPr>
          <w:p>
            <w:pPr>
              <w:pStyle w:val="P1"/>
              <w:jc w:val="center"/>
              <w:rPr>
                <w:rStyle w:val="C3"/>
                <w:b w:val="1"/>
                <w:sz w:val="24"/>
              </w:rPr>
            </w:pPr>
            <w:r>
              <w:rPr>
                <w:rStyle w:val="C3"/>
                <w:b w:val="1"/>
                <w:sz w:val="24"/>
              </w:rPr>
              <w:t>Deuda de los años</w:t>
            </w:r>
          </w:p>
        </w:tc>
      </w:tr>
      <w:tr>
        <w:trPr/>
        <w:tc>
          <w:tcPr>
            <w:tcW w:w="1913" w:type="dxa"/>
            <w:vAlign w:val="center"/>
          </w:tcPr>
          <w:p>
            <w:pPr>
              <w:pStyle w:val="P1"/>
              <w:jc w:val="center"/>
              <w:rPr>
                <w:rStyle w:val="C3"/>
                <w:sz w:val="24"/>
              </w:rPr>
            </w:pPr>
            <w:r>
              <w:rPr>
                <w:rStyle w:val="C3"/>
                <w:sz w:val="24"/>
              </w:rPr>
              <w:t>Bresca, Raúl</w:t>
            </w:r>
          </w:p>
        </w:tc>
        <w:tc>
          <w:tcPr>
            <w:tcW w:w="2789" w:type="dxa"/>
            <w:vAlign w:val="center"/>
          </w:tcPr>
          <w:p>
            <w:pPr>
              <w:pStyle w:val="P1"/>
              <w:jc w:val="center"/>
              <w:rPr>
                <w:rStyle w:val="C3"/>
                <w:sz w:val="24"/>
              </w:rPr>
            </w:pPr>
            <w:r>
              <w:rPr>
                <w:rStyle w:val="C3"/>
                <w:sz w:val="24"/>
              </w:rPr>
              <w:t>3528</w:t>
            </w:r>
          </w:p>
        </w:tc>
        <w:tc>
          <w:tcPr>
            <w:tcW w:w="2351" w:type="dxa"/>
            <w:vAlign w:val="center"/>
          </w:tcPr>
          <w:p>
            <w:pPr>
              <w:pStyle w:val="P1"/>
              <w:jc w:val="center"/>
              <w:rPr>
                <w:rStyle w:val="C3"/>
                <w:sz w:val="24"/>
              </w:rPr>
            </w:pPr>
            <w:r>
              <w:rPr>
                <w:rStyle w:val="C3"/>
                <w:sz w:val="24"/>
              </w:rPr>
              <w:t>99/I/05</w:t>
            </w:r>
          </w:p>
        </w:tc>
        <w:tc>
          <w:tcPr>
            <w:tcW w:w="2351" w:type="dxa"/>
            <w:vAlign w:val="center"/>
          </w:tcPr>
          <w:p>
            <w:pPr>
              <w:pStyle w:val="P1"/>
              <w:jc w:val="center"/>
              <w:rPr>
                <w:rStyle w:val="C3"/>
                <w:sz w:val="24"/>
              </w:rPr>
            </w:pPr>
            <w:r>
              <w:rPr>
                <w:rStyle w:val="C3"/>
                <w:sz w:val="24"/>
              </w:rPr>
              <w:t>-</w:t>
            </w:r>
          </w:p>
        </w:tc>
      </w:tr>
    </w:tbl>
    <w:p>
      <w:pPr>
        <w:pStyle w:val="P1"/>
        <w:ind w:hanging="709" w:left="709"/>
        <w:jc w:val="both"/>
        <w:rPr>
          <w:rStyle w:val="C3"/>
          <w:sz w:val="24"/>
        </w:rPr>
      </w:pPr>
    </w:p>
    <w:p>
      <w:pPr>
        <w:pStyle w:val="P1"/>
        <w:ind w:hanging="709" w:left="709"/>
        <w:jc w:val="both"/>
        <w:rPr>
          <w:rStyle w:val="C3"/>
          <w:sz w:val="24"/>
        </w:rPr>
      </w:pPr>
    </w:p>
    <w:p>
      <w:pPr>
        <w:pStyle w:val="P1"/>
        <w:ind w:hanging="709" w:left="709"/>
        <w:jc w:val="both"/>
        <w:rPr>
          <w:rStyle w:val="C3"/>
          <w:sz w:val="24"/>
        </w:rPr>
      </w:pPr>
      <w:r>
        <w:rPr>
          <w:rStyle w:val="C3"/>
          <w:b w:val="1"/>
          <w:sz w:val="24"/>
          <w:u w:val="single"/>
        </w:rPr>
        <w:t>Art.3</w:t>
      </w:r>
      <w:r>
        <w:rPr>
          <w:rStyle w:val="C3"/>
          <w:b w:val="1"/>
          <w:sz w:val="24"/>
        </w:rPr>
        <w:t>: PROTOCOLÍCESE</w:t>
      </w:r>
      <w:r>
        <w:rPr>
          <w:rStyle w:val="C3"/>
          <w:sz w:val="24"/>
        </w:rPr>
        <w:t>, comuníquese, publíquese en el Boletín Oficial de la Ciudad de Alta Gracia, transcríbase al Libro de Ordenanzas y archívese.</w:t>
      </w:r>
    </w:p>
    <w:p>
      <w:pPr>
        <w:pStyle w:val="P1"/>
        <w:jc w:val="both"/>
        <w:rPr>
          <w:rStyle w:val="C3"/>
          <w:sz w:val="24"/>
        </w:rPr>
      </w:pPr>
    </w:p>
    <w:p>
      <w:pPr>
        <w:pStyle w:val="P1"/>
        <w:jc w:val="both"/>
        <w:rPr>
          <w:rStyle w:val="C3"/>
          <w:b w:val="1"/>
          <w:sz w:val="24"/>
        </w:rPr>
      </w:pPr>
    </w:p>
    <w:p>
      <w:pPr>
        <w:pStyle w:val="P1"/>
        <w:jc w:val="both"/>
        <w:rPr>
          <w:rStyle w:val="C3"/>
          <w:b w:val="1"/>
          <w:sz w:val="24"/>
        </w:rPr>
      </w:pPr>
      <w:r>
        <w:rPr>
          <w:rStyle w:val="C3"/>
          <w:b w:val="1"/>
          <w:sz w:val="24"/>
        </w:rPr>
        <w:t xml:space="preserve">DADA EN LA SALA DE SESIONES DEL HONORABLE CONCEJO DELIBERANTE A VEINTIOCHO DÍAS DEL MES DE </w:t>
      </w:r>
      <w:r>
        <w:rPr>
          <w:rStyle w:val="C3"/>
          <w:b w:val="1"/>
          <w:sz w:val="24"/>
        </w:rPr>
        <w:t>JULI</w:t>
      </w:r>
      <w:r>
        <w:rPr>
          <w:rStyle w:val="C3"/>
          <w:b w:val="1"/>
          <w:sz w:val="24"/>
        </w:rPr>
        <w:t>O DEL AÑO DOS MIL CINCO.</w:t>
      </w:r>
    </w:p>
    <w:p>
      <w:pPr>
        <w:pStyle w:val="P1"/>
        <w:jc w:val="both"/>
        <w:rPr>
          <w:rStyle w:val="C3"/>
          <w:b w:val="1"/>
          <w:sz w:val="52"/>
        </w:rPr>
      </w:pPr>
    </w:p>
    <w:sectPr>
      <w:type w:val="nextPage"/>
      <w:pgSz w:w="11907" w:h="16840" w:code="0"/>
      <w:pgMar w:left="1321" w:right="1321" w:top="1418" w:bottom="1418" w:header="708" w:footer="708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isplayBackgroundShape w:val="0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pPr/>
    <w:rPr>
      <w:sz w:val="20"/>
    </w:rPr>
  </w:style>
  <w:style w:type="paragraph" w:styleId="P1">
    <w:name w:val="Texto sin formato"/>
    <w:basedOn w:val="P0"/>
    <w:next w:val="P1"/>
    <w:pPr/>
    <w:rPr>
      <w:rFonts w:ascii="Courier New" w:hAnsi="Courier New"/>
    </w:rPr>
  </w:style>
  <w:style w:type="paragraph" w:styleId="P2">
    <w:name w:val="Sangría 2 de t. independiente"/>
    <w:basedOn w:val="P0"/>
    <w:next w:val="P2"/>
    <w:pPr>
      <w:ind w:left="709"/>
      <w:jc w:val="both"/>
    </w:pPr>
    <w:rPr>
      <w:sz w:val="24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2">
    <w:name w:val="Tabla normal"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M.A.G.</dc:creator>
  <dcterms:created xsi:type="dcterms:W3CDTF">2005-08-01T19:06:00Z</dcterms:created>
  <cp:lastModifiedBy>Ethan Puglia</cp:lastModifiedBy>
  <cp:lastPrinted>2005-03-23T22:46:00Z</cp:lastPrinted>
  <dcterms:modified xsi:type="dcterms:W3CDTF">2019-03-28T17:34:06Z</dcterms:modified>
  <cp:revision>6</cp:revision>
  <dc:title>1¾   «        M</dc:title>
</cp:coreProperties>
</file>