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CB4FA9" Type="http://schemas.openxmlformats.org/officeDocument/2006/relationships/officeDocument" Target="/word/document.xml" /><Relationship Id="coreR28CB4F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7702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321/I/05; y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Que el mismo es remitido a este Honorable Cuerpo por Dirección de Ingresos Públicos solicitando que se rectifique o ratifique la Ordenanza Nº 7642 ya que existiría una contradicción entre lo expresado en el Artículo 1 y el Artículo 2 de dicha Ordenanza;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la Ordenanza por la totalidad de Concejales presentes, se emite despacho favorable aprobado por unanimidad en Sesión Ordinaria de fecha 17 de mayo de 2007.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EL HONORABLE CONCEJO DELIBERANTE DE LA CIUDAD DE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ALTA GRACIA SANCIONA CON FUERZA DE ORDENANZA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MODIFICASE </w:t>
      </w:r>
      <w:r>
        <w:rPr>
          <w:rStyle w:val="C3"/>
          <w:rFonts w:ascii="Courier New" w:hAnsi="Courier New"/>
        </w:rPr>
        <w:t>el Artículo 1 de la Ordenanza Nº 7642 el que quedará redactado de la siguiente manera: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ab/>
        <w:t>“</w:t>
      </w: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AUTORÍZASE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a dar de baja al Comercio, Legajo Nº 2949 a marzo de 1990 caducando la deuda desde esa fecha.”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</w:t>
      </w:r>
    </w:p>
    <w:p>
      <w:pPr>
        <w:ind w:hanging="540" w:left="54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 xml:space="preserve"> 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 DIECISIETE DÍAS DEL MES DE MAYO DEL AÑO DOS MIL SIETE.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dit="readOnly"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Sangría de t. independiente"/>
    <w:basedOn w:val="P0"/>
    <w:next w:val="P1"/>
    <w:pPr>
      <w:ind w:left="720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alvarez</dc:creator>
  <dcterms:created xsi:type="dcterms:W3CDTF">2007-05-28T11:22:00Z</dcterms:created>
  <cp:lastModifiedBy>Ethan Puglia</cp:lastModifiedBy>
  <cp:lastPrinted>2007-05-30T12:43:00Z</cp:lastPrinted>
  <dcterms:modified xsi:type="dcterms:W3CDTF">2019-03-28T17:34:07Z</dcterms:modified>
  <cp:revision>6</cp:revision>
  <dc:title>Visto: Los artículos 81; 82 y 101 Inc</dc:title>
</cp:coreProperties>
</file>